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9" w:type="dxa"/>
        <w:tblInd w:w="55" w:type="dxa"/>
        <w:tblLayout w:type="fixed"/>
        <w:tblCellMar>
          <w:left w:w="70" w:type="dxa"/>
          <w:right w:w="70" w:type="dxa"/>
        </w:tblCellMar>
        <w:tblLook w:val="04A0"/>
      </w:tblPr>
      <w:tblGrid>
        <w:gridCol w:w="3386"/>
        <w:gridCol w:w="3387"/>
        <w:gridCol w:w="2456"/>
      </w:tblGrid>
      <w:tr w:rsidR="0086722D" w:rsidRPr="0038163F" w:rsidTr="00CE72BE">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722D" w:rsidRPr="0038163F" w:rsidRDefault="0086722D" w:rsidP="00250607">
            <w:pPr>
              <w:pStyle w:val="NormalWeb"/>
              <w:rPr>
                <w:b/>
                <w:bCs/>
                <w:sz w:val="20"/>
                <w:szCs w:val="20"/>
              </w:rPr>
            </w:pPr>
            <w:r>
              <w:rPr>
                <w:rStyle w:val="Gl"/>
              </w:rPr>
              <w:t xml:space="preserve">2013-2014 Öğretim Yılı Bahar Yarı Yılı Üniversitelerin </w:t>
            </w:r>
            <w:proofErr w:type="spellStart"/>
            <w:r>
              <w:rPr>
                <w:rStyle w:val="Gl"/>
              </w:rPr>
              <w:t>Önlisans</w:t>
            </w:r>
            <w:proofErr w:type="spellEnd"/>
            <w:r>
              <w:rPr>
                <w:rStyle w:val="Gl"/>
              </w:rPr>
              <w:t xml:space="preserve"> Programları İçin Ayrılan Kurumlar Arası Yatay Geçiş Kontenjanları İle Başvuru ve Değerlendirme Takvimi</w:t>
            </w:r>
            <w:r>
              <w:br/>
            </w:r>
            <w:r>
              <w:br/>
            </w:r>
          </w:p>
        </w:tc>
      </w:tr>
      <w:tr w:rsidR="0086722D" w:rsidRPr="0038163F" w:rsidTr="0086722D">
        <w:trPr>
          <w:trHeight w:val="255"/>
        </w:trPr>
        <w:tc>
          <w:tcPr>
            <w:tcW w:w="33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722D" w:rsidRPr="008033B3" w:rsidRDefault="0086722D" w:rsidP="0038163F">
            <w:pPr>
              <w:spacing w:after="0" w:line="240" w:lineRule="auto"/>
              <w:rPr>
                <w:rFonts w:ascii="Times New Roman" w:eastAsia="Times New Roman" w:hAnsi="Times New Roman" w:cs="Times New Roman"/>
                <w:b/>
                <w:bCs/>
                <w:sz w:val="24"/>
                <w:szCs w:val="24"/>
                <w:lang w:eastAsia="tr-TR"/>
              </w:rPr>
            </w:pPr>
            <w:r w:rsidRPr="008033B3">
              <w:rPr>
                <w:rFonts w:ascii="Times New Roman" w:eastAsia="Times New Roman" w:hAnsi="Times New Roman" w:cs="Times New Roman"/>
                <w:b/>
                <w:bCs/>
                <w:sz w:val="24"/>
                <w:szCs w:val="24"/>
                <w:lang w:eastAsia="tr-TR"/>
              </w:rPr>
              <w:t>Eğirdir Sağlık Hizmetleri Meslek Yüksekokulu</w:t>
            </w:r>
          </w:p>
        </w:tc>
        <w:tc>
          <w:tcPr>
            <w:tcW w:w="3387" w:type="dxa"/>
            <w:tcBorders>
              <w:top w:val="single" w:sz="4" w:space="0" w:color="auto"/>
              <w:left w:val="nil"/>
              <w:bottom w:val="single" w:sz="4" w:space="0" w:color="auto"/>
              <w:right w:val="single" w:sz="4" w:space="0" w:color="auto"/>
            </w:tcBorders>
            <w:shd w:val="clear" w:color="000000" w:fill="FFFFFF"/>
            <w:noWrap/>
            <w:vAlign w:val="bottom"/>
            <w:hideMark/>
          </w:tcPr>
          <w:p w:rsidR="0086722D" w:rsidRPr="008033B3" w:rsidRDefault="0086722D" w:rsidP="0038163F">
            <w:pPr>
              <w:spacing w:after="0" w:line="240" w:lineRule="auto"/>
              <w:rPr>
                <w:rFonts w:ascii="Times New Roman" w:eastAsia="Times New Roman" w:hAnsi="Times New Roman" w:cs="Times New Roman"/>
                <w:b/>
                <w:bCs/>
                <w:sz w:val="24"/>
                <w:szCs w:val="24"/>
                <w:lang w:eastAsia="tr-TR"/>
              </w:rPr>
            </w:pPr>
            <w:r w:rsidRPr="008033B3">
              <w:rPr>
                <w:rFonts w:ascii="Times New Roman" w:eastAsia="Times New Roman" w:hAnsi="Times New Roman" w:cs="Times New Roman"/>
                <w:b/>
                <w:bCs/>
                <w:sz w:val="24"/>
                <w:szCs w:val="24"/>
                <w:lang w:eastAsia="tr-TR"/>
              </w:rPr>
              <w:t xml:space="preserve">Yatay Geçiş Kontenjanları </w:t>
            </w:r>
          </w:p>
        </w:tc>
        <w:tc>
          <w:tcPr>
            <w:tcW w:w="2456" w:type="dxa"/>
            <w:tcBorders>
              <w:top w:val="single" w:sz="4" w:space="0" w:color="auto"/>
              <w:left w:val="nil"/>
              <w:bottom w:val="single" w:sz="4" w:space="0" w:color="auto"/>
              <w:right w:val="single" w:sz="4" w:space="0" w:color="auto"/>
            </w:tcBorders>
            <w:shd w:val="clear" w:color="000000" w:fill="FFFFFF"/>
            <w:noWrap/>
            <w:vAlign w:val="bottom"/>
            <w:hideMark/>
          </w:tcPr>
          <w:p w:rsidR="0086722D" w:rsidRPr="008033B3" w:rsidRDefault="0086722D" w:rsidP="0038163F">
            <w:pPr>
              <w:spacing w:after="0" w:line="240" w:lineRule="auto"/>
              <w:jc w:val="center"/>
              <w:rPr>
                <w:rFonts w:ascii="Times New Roman" w:eastAsia="Times New Roman" w:hAnsi="Times New Roman" w:cs="Times New Roman"/>
                <w:b/>
                <w:bCs/>
                <w:sz w:val="24"/>
                <w:szCs w:val="24"/>
                <w:lang w:eastAsia="tr-TR"/>
              </w:rPr>
            </w:pPr>
          </w:p>
        </w:tc>
      </w:tr>
      <w:tr w:rsidR="0086722D" w:rsidRPr="0038163F" w:rsidTr="0086722D">
        <w:trPr>
          <w:trHeight w:val="690"/>
        </w:trPr>
        <w:tc>
          <w:tcPr>
            <w:tcW w:w="3386" w:type="dxa"/>
            <w:tcBorders>
              <w:top w:val="nil"/>
              <w:left w:val="single" w:sz="4" w:space="0" w:color="auto"/>
              <w:bottom w:val="single" w:sz="4" w:space="0" w:color="auto"/>
              <w:right w:val="single" w:sz="4" w:space="0" w:color="auto"/>
            </w:tcBorders>
            <w:shd w:val="clear" w:color="000000" w:fill="FFFFFF"/>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roofErr w:type="gramStart"/>
            <w:r w:rsidRPr="008033B3">
              <w:rPr>
                <w:rFonts w:ascii="Times New Roman" w:eastAsia="Times New Roman" w:hAnsi="Times New Roman" w:cs="Times New Roman"/>
                <w:color w:val="000000"/>
                <w:sz w:val="24"/>
                <w:szCs w:val="24"/>
                <w:lang w:eastAsia="tr-TR"/>
              </w:rPr>
              <w:t>109253213</w:t>
            </w:r>
            <w:proofErr w:type="gramEnd"/>
          </w:p>
        </w:tc>
        <w:tc>
          <w:tcPr>
            <w:tcW w:w="3387" w:type="dxa"/>
            <w:tcBorders>
              <w:top w:val="nil"/>
              <w:left w:val="nil"/>
              <w:bottom w:val="single" w:sz="4" w:space="0" w:color="auto"/>
              <w:right w:val="single" w:sz="4" w:space="0" w:color="auto"/>
            </w:tcBorders>
            <w:shd w:val="clear" w:color="000000" w:fill="FFFFFF"/>
            <w:noWrap/>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r w:rsidRPr="008033B3">
              <w:rPr>
                <w:rFonts w:ascii="Times New Roman" w:eastAsia="Times New Roman" w:hAnsi="Times New Roman" w:cs="Times New Roman"/>
                <w:color w:val="000000"/>
                <w:sz w:val="24"/>
                <w:szCs w:val="24"/>
                <w:lang w:eastAsia="tr-TR"/>
              </w:rPr>
              <w:t>Engelli Bakımı ve Rehabilitasyon</w:t>
            </w:r>
          </w:p>
        </w:tc>
        <w:tc>
          <w:tcPr>
            <w:tcW w:w="2456" w:type="dxa"/>
            <w:tcBorders>
              <w:top w:val="nil"/>
              <w:left w:val="nil"/>
              <w:bottom w:val="single" w:sz="4" w:space="0" w:color="auto"/>
              <w:right w:val="single" w:sz="4" w:space="0" w:color="auto"/>
            </w:tcBorders>
            <w:shd w:val="clear" w:color="000000" w:fill="FFFFFF"/>
            <w:vAlign w:val="bottom"/>
            <w:hideMark/>
          </w:tcPr>
          <w:p w:rsidR="0086722D" w:rsidRPr="008033B3" w:rsidRDefault="0086722D" w:rsidP="0038163F">
            <w:pPr>
              <w:spacing w:after="0" w:line="240" w:lineRule="auto"/>
              <w:jc w:val="center"/>
              <w:rPr>
                <w:rFonts w:ascii="Times New Roman" w:eastAsia="Times New Roman" w:hAnsi="Times New Roman" w:cs="Times New Roman"/>
                <w:b/>
                <w:bCs/>
                <w:sz w:val="24"/>
                <w:szCs w:val="24"/>
                <w:lang w:eastAsia="tr-TR"/>
              </w:rPr>
            </w:pPr>
            <w:r w:rsidRPr="008033B3">
              <w:rPr>
                <w:rFonts w:ascii="Times New Roman" w:eastAsia="Times New Roman" w:hAnsi="Times New Roman" w:cs="Times New Roman"/>
                <w:b/>
                <w:bCs/>
                <w:sz w:val="24"/>
                <w:szCs w:val="24"/>
                <w:lang w:eastAsia="tr-TR"/>
              </w:rPr>
              <w:t>2</w:t>
            </w:r>
          </w:p>
        </w:tc>
      </w:tr>
      <w:tr w:rsidR="0086722D" w:rsidRPr="0038163F" w:rsidTr="0086722D">
        <w:trPr>
          <w:trHeight w:val="690"/>
        </w:trPr>
        <w:tc>
          <w:tcPr>
            <w:tcW w:w="3386" w:type="dxa"/>
            <w:tcBorders>
              <w:top w:val="nil"/>
              <w:left w:val="single" w:sz="4" w:space="0" w:color="auto"/>
              <w:bottom w:val="single" w:sz="4" w:space="0" w:color="auto"/>
              <w:right w:val="single" w:sz="4" w:space="0" w:color="auto"/>
            </w:tcBorders>
            <w:shd w:val="clear" w:color="000000" w:fill="FFFFFF"/>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roofErr w:type="gramStart"/>
            <w:r w:rsidRPr="008033B3">
              <w:rPr>
                <w:rFonts w:ascii="Times New Roman" w:eastAsia="Times New Roman" w:hAnsi="Times New Roman" w:cs="Times New Roman"/>
                <w:color w:val="000000"/>
                <w:sz w:val="24"/>
                <w:szCs w:val="24"/>
                <w:lang w:eastAsia="tr-TR"/>
              </w:rPr>
              <w:t>109272334</w:t>
            </w:r>
            <w:proofErr w:type="gramEnd"/>
          </w:p>
        </w:tc>
        <w:tc>
          <w:tcPr>
            <w:tcW w:w="3387" w:type="dxa"/>
            <w:tcBorders>
              <w:top w:val="nil"/>
              <w:left w:val="nil"/>
              <w:bottom w:val="single" w:sz="4" w:space="0" w:color="auto"/>
              <w:right w:val="single" w:sz="4" w:space="0" w:color="auto"/>
            </w:tcBorders>
            <w:shd w:val="clear" w:color="000000" w:fill="FFFFFF"/>
            <w:noWrap/>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r w:rsidRPr="008033B3">
              <w:rPr>
                <w:rFonts w:ascii="Times New Roman" w:eastAsia="Times New Roman" w:hAnsi="Times New Roman" w:cs="Times New Roman"/>
                <w:color w:val="000000"/>
                <w:sz w:val="24"/>
                <w:szCs w:val="24"/>
                <w:lang w:eastAsia="tr-TR"/>
              </w:rPr>
              <w:t>Engelli Bakımı ve Rehabilitasyon (İÖ)</w:t>
            </w:r>
          </w:p>
        </w:tc>
        <w:tc>
          <w:tcPr>
            <w:tcW w:w="2456" w:type="dxa"/>
            <w:tcBorders>
              <w:top w:val="nil"/>
              <w:left w:val="nil"/>
              <w:bottom w:val="single" w:sz="4" w:space="0" w:color="auto"/>
              <w:right w:val="single" w:sz="4" w:space="0" w:color="auto"/>
            </w:tcBorders>
            <w:shd w:val="clear" w:color="000000" w:fill="FFFFFF"/>
            <w:vAlign w:val="bottom"/>
            <w:hideMark/>
          </w:tcPr>
          <w:p w:rsidR="0086722D" w:rsidRPr="008033B3" w:rsidRDefault="0086722D" w:rsidP="0038163F">
            <w:pPr>
              <w:spacing w:after="0" w:line="240" w:lineRule="auto"/>
              <w:jc w:val="center"/>
              <w:rPr>
                <w:rFonts w:ascii="Times New Roman" w:eastAsia="Times New Roman" w:hAnsi="Times New Roman" w:cs="Times New Roman"/>
                <w:b/>
                <w:bCs/>
                <w:sz w:val="24"/>
                <w:szCs w:val="24"/>
                <w:lang w:eastAsia="tr-TR"/>
              </w:rPr>
            </w:pPr>
            <w:r w:rsidRPr="008033B3">
              <w:rPr>
                <w:rFonts w:ascii="Times New Roman" w:eastAsia="Times New Roman" w:hAnsi="Times New Roman" w:cs="Times New Roman"/>
                <w:b/>
                <w:bCs/>
                <w:sz w:val="24"/>
                <w:szCs w:val="24"/>
                <w:lang w:eastAsia="tr-TR"/>
              </w:rPr>
              <w:t>2</w:t>
            </w:r>
          </w:p>
        </w:tc>
      </w:tr>
      <w:tr w:rsidR="0086722D" w:rsidRPr="0038163F" w:rsidTr="0086722D">
        <w:trPr>
          <w:trHeight w:val="690"/>
        </w:trPr>
        <w:tc>
          <w:tcPr>
            <w:tcW w:w="3386" w:type="dxa"/>
            <w:tcBorders>
              <w:top w:val="nil"/>
              <w:left w:val="single" w:sz="4" w:space="0" w:color="auto"/>
              <w:bottom w:val="single" w:sz="4" w:space="0" w:color="auto"/>
              <w:right w:val="single" w:sz="4" w:space="0" w:color="auto"/>
            </w:tcBorders>
            <w:shd w:val="clear" w:color="000000" w:fill="FFFFFF"/>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roofErr w:type="gramStart"/>
            <w:r w:rsidRPr="008033B3">
              <w:rPr>
                <w:rFonts w:ascii="Times New Roman" w:eastAsia="Times New Roman" w:hAnsi="Times New Roman" w:cs="Times New Roman"/>
                <w:color w:val="000000"/>
                <w:sz w:val="24"/>
                <w:szCs w:val="24"/>
                <w:lang w:eastAsia="tr-TR"/>
              </w:rPr>
              <w:t>109253222</w:t>
            </w:r>
            <w:proofErr w:type="gramEnd"/>
          </w:p>
        </w:tc>
        <w:tc>
          <w:tcPr>
            <w:tcW w:w="3387" w:type="dxa"/>
            <w:tcBorders>
              <w:top w:val="nil"/>
              <w:left w:val="nil"/>
              <w:bottom w:val="single" w:sz="4" w:space="0" w:color="auto"/>
              <w:right w:val="single" w:sz="4" w:space="0" w:color="auto"/>
            </w:tcBorders>
            <w:shd w:val="clear" w:color="000000" w:fill="FFFFFF"/>
            <w:noWrap/>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r w:rsidRPr="008033B3">
              <w:rPr>
                <w:rFonts w:ascii="Times New Roman" w:eastAsia="Times New Roman" w:hAnsi="Times New Roman" w:cs="Times New Roman"/>
                <w:color w:val="000000"/>
                <w:sz w:val="24"/>
                <w:szCs w:val="24"/>
                <w:lang w:eastAsia="tr-TR"/>
              </w:rPr>
              <w:t>Sosyal Hizmetler</w:t>
            </w:r>
          </w:p>
        </w:tc>
        <w:tc>
          <w:tcPr>
            <w:tcW w:w="2456" w:type="dxa"/>
            <w:tcBorders>
              <w:top w:val="nil"/>
              <w:left w:val="nil"/>
              <w:bottom w:val="single" w:sz="4" w:space="0" w:color="auto"/>
              <w:right w:val="single" w:sz="4" w:space="0" w:color="auto"/>
            </w:tcBorders>
            <w:shd w:val="clear" w:color="000000" w:fill="FFFFFF"/>
            <w:vAlign w:val="bottom"/>
            <w:hideMark/>
          </w:tcPr>
          <w:p w:rsidR="0086722D" w:rsidRPr="008033B3" w:rsidRDefault="0086722D" w:rsidP="0038163F">
            <w:pPr>
              <w:spacing w:after="0" w:line="240" w:lineRule="auto"/>
              <w:jc w:val="center"/>
              <w:rPr>
                <w:rFonts w:ascii="Times New Roman" w:eastAsia="Times New Roman" w:hAnsi="Times New Roman" w:cs="Times New Roman"/>
                <w:b/>
                <w:bCs/>
                <w:sz w:val="24"/>
                <w:szCs w:val="24"/>
                <w:lang w:eastAsia="tr-TR"/>
              </w:rPr>
            </w:pPr>
            <w:r w:rsidRPr="008033B3">
              <w:rPr>
                <w:rFonts w:ascii="Times New Roman" w:eastAsia="Times New Roman" w:hAnsi="Times New Roman" w:cs="Times New Roman"/>
                <w:b/>
                <w:bCs/>
                <w:sz w:val="24"/>
                <w:szCs w:val="24"/>
                <w:lang w:eastAsia="tr-TR"/>
              </w:rPr>
              <w:t>2</w:t>
            </w:r>
          </w:p>
        </w:tc>
      </w:tr>
      <w:tr w:rsidR="0086722D" w:rsidRPr="0038163F" w:rsidTr="0086722D">
        <w:trPr>
          <w:trHeight w:val="690"/>
        </w:trPr>
        <w:tc>
          <w:tcPr>
            <w:tcW w:w="3386" w:type="dxa"/>
            <w:tcBorders>
              <w:top w:val="nil"/>
              <w:left w:val="single" w:sz="4" w:space="0" w:color="auto"/>
              <w:bottom w:val="nil"/>
              <w:right w:val="single" w:sz="4" w:space="0" w:color="auto"/>
            </w:tcBorders>
            <w:shd w:val="clear" w:color="000000" w:fill="FFFFFF"/>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roofErr w:type="gramStart"/>
            <w:r w:rsidRPr="008033B3">
              <w:rPr>
                <w:rFonts w:ascii="Times New Roman" w:eastAsia="Times New Roman" w:hAnsi="Times New Roman" w:cs="Times New Roman"/>
                <w:color w:val="000000"/>
                <w:sz w:val="24"/>
                <w:szCs w:val="24"/>
                <w:lang w:eastAsia="tr-TR"/>
              </w:rPr>
              <w:t>109272343</w:t>
            </w:r>
            <w:proofErr w:type="gramEnd"/>
          </w:p>
        </w:tc>
        <w:tc>
          <w:tcPr>
            <w:tcW w:w="3387" w:type="dxa"/>
            <w:tcBorders>
              <w:top w:val="nil"/>
              <w:left w:val="nil"/>
              <w:bottom w:val="nil"/>
              <w:right w:val="single" w:sz="4" w:space="0" w:color="auto"/>
            </w:tcBorders>
            <w:shd w:val="clear" w:color="000000" w:fill="FFFFFF"/>
            <w:noWrap/>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r w:rsidRPr="008033B3">
              <w:rPr>
                <w:rFonts w:ascii="Times New Roman" w:eastAsia="Times New Roman" w:hAnsi="Times New Roman" w:cs="Times New Roman"/>
                <w:color w:val="000000"/>
                <w:sz w:val="24"/>
                <w:szCs w:val="24"/>
                <w:lang w:eastAsia="tr-TR"/>
              </w:rPr>
              <w:t>Sosyal Hizmetler (İÖ)</w:t>
            </w:r>
          </w:p>
        </w:tc>
        <w:tc>
          <w:tcPr>
            <w:tcW w:w="2456" w:type="dxa"/>
            <w:tcBorders>
              <w:top w:val="nil"/>
              <w:left w:val="nil"/>
              <w:bottom w:val="nil"/>
              <w:right w:val="single" w:sz="4" w:space="0" w:color="auto"/>
            </w:tcBorders>
            <w:shd w:val="clear" w:color="000000" w:fill="FFFFFF"/>
            <w:vAlign w:val="bottom"/>
            <w:hideMark/>
          </w:tcPr>
          <w:p w:rsidR="0086722D" w:rsidRPr="008033B3" w:rsidRDefault="0086722D" w:rsidP="0038163F">
            <w:pPr>
              <w:spacing w:after="0" w:line="240" w:lineRule="auto"/>
              <w:jc w:val="center"/>
              <w:rPr>
                <w:rFonts w:ascii="Times New Roman" w:eastAsia="Times New Roman" w:hAnsi="Times New Roman" w:cs="Times New Roman"/>
                <w:b/>
                <w:bCs/>
                <w:sz w:val="24"/>
                <w:szCs w:val="24"/>
                <w:lang w:eastAsia="tr-TR"/>
              </w:rPr>
            </w:pPr>
            <w:r w:rsidRPr="008033B3">
              <w:rPr>
                <w:rFonts w:ascii="Times New Roman" w:eastAsia="Times New Roman" w:hAnsi="Times New Roman" w:cs="Times New Roman"/>
                <w:b/>
                <w:bCs/>
                <w:sz w:val="24"/>
                <w:szCs w:val="24"/>
                <w:lang w:eastAsia="tr-TR"/>
              </w:rPr>
              <w:t>2</w:t>
            </w:r>
          </w:p>
        </w:tc>
      </w:tr>
      <w:tr w:rsidR="0086722D" w:rsidRPr="0038163F" w:rsidTr="0086722D">
        <w:trPr>
          <w:trHeight w:val="690"/>
        </w:trPr>
        <w:tc>
          <w:tcPr>
            <w:tcW w:w="3386" w:type="dxa"/>
            <w:tcBorders>
              <w:top w:val="nil"/>
              <w:left w:val="single" w:sz="4" w:space="0" w:color="auto"/>
              <w:bottom w:val="single" w:sz="4" w:space="0" w:color="auto"/>
              <w:right w:val="single" w:sz="4" w:space="0" w:color="auto"/>
            </w:tcBorders>
            <w:shd w:val="clear" w:color="000000" w:fill="FFFFFF"/>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tc>
        <w:tc>
          <w:tcPr>
            <w:tcW w:w="3387" w:type="dxa"/>
            <w:tcBorders>
              <w:top w:val="nil"/>
              <w:left w:val="nil"/>
              <w:bottom w:val="single" w:sz="4" w:space="0" w:color="auto"/>
              <w:right w:val="single" w:sz="4" w:space="0" w:color="auto"/>
            </w:tcBorders>
            <w:shd w:val="clear" w:color="000000" w:fill="FFFFFF"/>
            <w:noWrap/>
            <w:hideMark/>
          </w:tcPr>
          <w:p w:rsidR="0086722D" w:rsidRPr="008033B3" w:rsidRDefault="0086722D" w:rsidP="0038163F">
            <w:pPr>
              <w:spacing w:after="0" w:line="240" w:lineRule="auto"/>
              <w:rPr>
                <w:rFonts w:ascii="Times New Roman" w:eastAsia="Times New Roman" w:hAnsi="Times New Roman" w:cs="Times New Roman"/>
                <w:color w:val="000000"/>
                <w:sz w:val="24"/>
                <w:szCs w:val="24"/>
                <w:lang w:eastAsia="tr-TR"/>
              </w:rPr>
            </w:pPr>
          </w:p>
        </w:tc>
        <w:tc>
          <w:tcPr>
            <w:tcW w:w="2456" w:type="dxa"/>
            <w:tcBorders>
              <w:top w:val="nil"/>
              <w:left w:val="nil"/>
              <w:bottom w:val="single" w:sz="4" w:space="0" w:color="auto"/>
              <w:right w:val="single" w:sz="4" w:space="0" w:color="auto"/>
            </w:tcBorders>
            <w:shd w:val="clear" w:color="000000" w:fill="FFFFFF"/>
            <w:vAlign w:val="bottom"/>
            <w:hideMark/>
          </w:tcPr>
          <w:p w:rsidR="0086722D" w:rsidRPr="008033B3" w:rsidRDefault="0086722D" w:rsidP="0038163F">
            <w:pPr>
              <w:spacing w:after="0" w:line="240" w:lineRule="auto"/>
              <w:jc w:val="center"/>
              <w:rPr>
                <w:rFonts w:ascii="Times New Roman" w:eastAsia="Times New Roman" w:hAnsi="Times New Roman" w:cs="Times New Roman"/>
                <w:b/>
                <w:bCs/>
                <w:sz w:val="24"/>
                <w:szCs w:val="24"/>
                <w:lang w:eastAsia="tr-TR"/>
              </w:rPr>
            </w:pPr>
          </w:p>
        </w:tc>
      </w:tr>
    </w:tbl>
    <w:p w:rsidR="008A1004" w:rsidRDefault="009E135C" w:rsidP="009E135C">
      <w:pPr>
        <w:pStyle w:val="NormalWeb"/>
      </w:pPr>
      <w:r>
        <w:t> </w:t>
      </w:r>
    </w:p>
    <w:tbl>
      <w:tblPr>
        <w:tblStyle w:val="TabloKlavuzu"/>
        <w:tblW w:w="9464" w:type="dxa"/>
        <w:tblLook w:val="04A0"/>
      </w:tblPr>
      <w:tblGrid>
        <w:gridCol w:w="1636"/>
        <w:gridCol w:w="1469"/>
        <w:gridCol w:w="1773"/>
        <w:gridCol w:w="1470"/>
        <w:gridCol w:w="1470"/>
        <w:gridCol w:w="1646"/>
      </w:tblGrid>
      <w:tr w:rsidR="0086722D" w:rsidTr="004E22E1">
        <w:tc>
          <w:tcPr>
            <w:tcW w:w="1636" w:type="dxa"/>
          </w:tcPr>
          <w:p w:rsidR="0086722D" w:rsidRPr="008033B3" w:rsidRDefault="008033B3" w:rsidP="0086722D">
            <w:pPr>
              <w:pStyle w:val="NormalWeb"/>
            </w:pPr>
            <w:r w:rsidRPr="008033B3">
              <w:rPr>
                <w:b/>
                <w:bCs/>
              </w:rPr>
              <w:t>Eğirdir Sağlık Hizmetleri Meslek Yüksekokulu</w:t>
            </w:r>
          </w:p>
        </w:tc>
        <w:tc>
          <w:tcPr>
            <w:tcW w:w="1469" w:type="dxa"/>
          </w:tcPr>
          <w:p w:rsidR="0086722D" w:rsidRPr="0086722D" w:rsidRDefault="0086722D" w:rsidP="008A1004">
            <w:pPr>
              <w:pStyle w:val="NormalWeb"/>
              <w:rPr>
                <w:b/>
                <w:color w:val="000000"/>
              </w:rPr>
            </w:pPr>
            <w:r w:rsidRPr="0086722D">
              <w:rPr>
                <w:b/>
                <w:color w:val="000000"/>
              </w:rPr>
              <w:t xml:space="preserve">Başvuru </w:t>
            </w:r>
            <w:r w:rsidR="004E22E1" w:rsidRPr="0086722D">
              <w:rPr>
                <w:b/>
                <w:color w:val="000000"/>
              </w:rPr>
              <w:t>Tarihi</w:t>
            </w:r>
          </w:p>
          <w:p w:rsidR="0086722D" w:rsidRPr="008A1004" w:rsidRDefault="0086722D" w:rsidP="008033B3">
            <w:pPr>
              <w:pStyle w:val="NormalWeb"/>
            </w:pPr>
          </w:p>
        </w:tc>
        <w:tc>
          <w:tcPr>
            <w:tcW w:w="1773" w:type="dxa"/>
          </w:tcPr>
          <w:p w:rsidR="0086722D" w:rsidRPr="0086722D" w:rsidRDefault="0086722D" w:rsidP="008A1004">
            <w:pPr>
              <w:pStyle w:val="NormalWeb"/>
              <w:rPr>
                <w:b/>
                <w:color w:val="000000"/>
              </w:rPr>
            </w:pPr>
            <w:r w:rsidRPr="0086722D">
              <w:rPr>
                <w:b/>
                <w:color w:val="000000"/>
              </w:rPr>
              <w:t xml:space="preserve">Değerlendirme Tarihi </w:t>
            </w:r>
          </w:p>
          <w:p w:rsidR="0086722D" w:rsidRPr="008A1004" w:rsidRDefault="0086722D" w:rsidP="008033B3">
            <w:pPr>
              <w:pStyle w:val="NormalWeb"/>
            </w:pPr>
          </w:p>
        </w:tc>
        <w:tc>
          <w:tcPr>
            <w:tcW w:w="1470" w:type="dxa"/>
          </w:tcPr>
          <w:p w:rsidR="0086722D" w:rsidRPr="0086722D" w:rsidRDefault="0086722D" w:rsidP="008A1004">
            <w:pPr>
              <w:pStyle w:val="NormalWeb"/>
              <w:rPr>
                <w:b/>
                <w:color w:val="000000"/>
              </w:rPr>
            </w:pPr>
            <w:r w:rsidRPr="0086722D">
              <w:rPr>
                <w:b/>
                <w:color w:val="000000"/>
              </w:rPr>
              <w:t xml:space="preserve">Sonuç İlan Tarih </w:t>
            </w:r>
          </w:p>
          <w:p w:rsidR="0086722D" w:rsidRDefault="0086722D" w:rsidP="0067498C">
            <w:pPr>
              <w:pStyle w:val="NormalWeb"/>
            </w:pPr>
          </w:p>
          <w:p w:rsidR="0086722D" w:rsidRPr="008A1004" w:rsidRDefault="0086722D" w:rsidP="0067498C">
            <w:pPr>
              <w:pStyle w:val="NormalWeb"/>
            </w:pPr>
          </w:p>
        </w:tc>
        <w:tc>
          <w:tcPr>
            <w:tcW w:w="1470" w:type="dxa"/>
          </w:tcPr>
          <w:p w:rsidR="0086722D" w:rsidRPr="0086722D" w:rsidRDefault="0086722D" w:rsidP="008A1004">
            <w:pPr>
              <w:pStyle w:val="NormalWeb"/>
              <w:rPr>
                <w:b/>
                <w:color w:val="000000"/>
              </w:rPr>
            </w:pPr>
            <w:r w:rsidRPr="0086722D">
              <w:rPr>
                <w:b/>
                <w:color w:val="000000"/>
              </w:rPr>
              <w:t>Kesin Kayıt Tarihi</w:t>
            </w:r>
          </w:p>
          <w:p w:rsidR="0086722D" w:rsidRPr="008A1004" w:rsidRDefault="0086722D" w:rsidP="008033B3">
            <w:pPr>
              <w:pStyle w:val="NormalWeb"/>
            </w:pPr>
          </w:p>
        </w:tc>
        <w:tc>
          <w:tcPr>
            <w:tcW w:w="1646" w:type="dxa"/>
          </w:tcPr>
          <w:p w:rsidR="0086722D" w:rsidRPr="0086722D" w:rsidRDefault="004E22E1" w:rsidP="009E135C">
            <w:pPr>
              <w:pStyle w:val="NormalWeb"/>
              <w:rPr>
                <w:b/>
                <w:color w:val="000000"/>
              </w:rPr>
            </w:pPr>
            <w:r>
              <w:rPr>
                <w:b/>
                <w:color w:val="000000"/>
              </w:rPr>
              <w:t>Yedek Kayıt T</w:t>
            </w:r>
            <w:r w:rsidR="0086722D" w:rsidRPr="0086722D">
              <w:rPr>
                <w:b/>
                <w:color w:val="000000"/>
              </w:rPr>
              <w:t>arihi</w:t>
            </w:r>
          </w:p>
          <w:p w:rsidR="0086722D" w:rsidRPr="008A1004" w:rsidRDefault="0086722D" w:rsidP="008033B3">
            <w:pPr>
              <w:pStyle w:val="NormalWeb"/>
            </w:pPr>
          </w:p>
        </w:tc>
      </w:tr>
      <w:tr w:rsidR="0086722D" w:rsidTr="004E22E1">
        <w:tc>
          <w:tcPr>
            <w:tcW w:w="1636" w:type="dxa"/>
          </w:tcPr>
          <w:p w:rsidR="008033B3" w:rsidRDefault="008033B3" w:rsidP="008033B3">
            <w:pPr>
              <w:pStyle w:val="NormalWeb"/>
              <w:rPr>
                <w:b/>
                <w:color w:val="000000"/>
              </w:rPr>
            </w:pPr>
            <w:r w:rsidRPr="0086722D">
              <w:rPr>
                <w:b/>
                <w:color w:val="000000"/>
              </w:rPr>
              <w:t>Başlangıç</w:t>
            </w:r>
          </w:p>
          <w:p w:rsidR="008033B3" w:rsidRPr="0086722D" w:rsidRDefault="008033B3" w:rsidP="008033B3">
            <w:pPr>
              <w:pStyle w:val="NormalWeb"/>
              <w:rPr>
                <w:b/>
                <w:color w:val="000000"/>
              </w:rPr>
            </w:pPr>
            <w:r w:rsidRPr="0086722D">
              <w:rPr>
                <w:b/>
                <w:color w:val="000000"/>
              </w:rPr>
              <w:t>Bitiş</w:t>
            </w:r>
          </w:p>
          <w:p w:rsidR="0086722D" w:rsidRDefault="0086722D" w:rsidP="009E135C">
            <w:pPr>
              <w:pStyle w:val="NormalWeb"/>
            </w:pPr>
          </w:p>
        </w:tc>
        <w:tc>
          <w:tcPr>
            <w:tcW w:w="1469" w:type="dxa"/>
          </w:tcPr>
          <w:p w:rsidR="0086722D" w:rsidRDefault="0086722D" w:rsidP="0086722D">
            <w:pPr>
              <w:pStyle w:val="NormalWeb"/>
            </w:pPr>
            <w:r>
              <w:t>30.01.2014</w:t>
            </w:r>
          </w:p>
          <w:p w:rsidR="0086722D" w:rsidRDefault="0086722D" w:rsidP="0086722D">
            <w:pPr>
              <w:pStyle w:val="NormalWeb"/>
            </w:pPr>
            <w:r w:rsidRPr="008A1004">
              <w:t>01.02.2014</w:t>
            </w:r>
          </w:p>
        </w:tc>
        <w:tc>
          <w:tcPr>
            <w:tcW w:w="1773" w:type="dxa"/>
          </w:tcPr>
          <w:p w:rsidR="0086722D" w:rsidRDefault="0086722D" w:rsidP="0086722D">
            <w:pPr>
              <w:pStyle w:val="NormalWeb"/>
            </w:pPr>
            <w:r>
              <w:t>03.02.2014</w:t>
            </w:r>
          </w:p>
          <w:p w:rsidR="0086722D" w:rsidRDefault="0086722D" w:rsidP="0086722D">
            <w:pPr>
              <w:pStyle w:val="NormalWeb"/>
            </w:pPr>
            <w:r>
              <w:t>05.02.2014</w:t>
            </w:r>
          </w:p>
        </w:tc>
        <w:tc>
          <w:tcPr>
            <w:tcW w:w="1470" w:type="dxa"/>
          </w:tcPr>
          <w:p w:rsidR="0086722D" w:rsidRDefault="0086722D" w:rsidP="009E135C">
            <w:pPr>
              <w:pStyle w:val="NormalWeb"/>
            </w:pPr>
            <w:r>
              <w:t>07.02.2014</w:t>
            </w:r>
          </w:p>
        </w:tc>
        <w:tc>
          <w:tcPr>
            <w:tcW w:w="1470" w:type="dxa"/>
          </w:tcPr>
          <w:p w:rsidR="0086722D" w:rsidRDefault="0086722D" w:rsidP="0086722D">
            <w:pPr>
              <w:pStyle w:val="NormalWeb"/>
            </w:pPr>
            <w:r>
              <w:t>10.02.2014</w:t>
            </w:r>
          </w:p>
          <w:p w:rsidR="0086722D" w:rsidRDefault="0086722D" w:rsidP="0086722D">
            <w:pPr>
              <w:pStyle w:val="NormalWeb"/>
            </w:pPr>
            <w:r>
              <w:t>11.02.2014</w:t>
            </w:r>
          </w:p>
        </w:tc>
        <w:tc>
          <w:tcPr>
            <w:tcW w:w="1646" w:type="dxa"/>
          </w:tcPr>
          <w:p w:rsidR="0086722D" w:rsidRDefault="0086722D" w:rsidP="0086722D">
            <w:pPr>
              <w:pStyle w:val="NormalWeb"/>
              <w:rPr>
                <w:color w:val="000000"/>
              </w:rPr>
            </w:pPr>
            <w:r>
              <w:rPr>
                <w:color w:val="000000"/>
              </w:rPr>
              <w:t>12.02.2014</w:t>
            </w:r>
          </w:p>
          <w:p w:rsidR="0086722D" w:rsidRDefault="0086722D" w:rsidP="0086722D">
            <w:pPr>
              <w:pStyle w:val="NormalWeb"/>
              <w:rPr>
                <w:color w:val="000000"/>
              </w:rPr>
            </w:pPr>
            <w:r>
              <w:rPr>
                <w:color w:val="000000"/>
              </w:rPr>
              <w:t>14.02.2014</w:t>
            </w:r>
          </w:p>
          <w:p w:rsidR="0086722D" w:rsidRDefault="0086722D" w:rsidP="009E135C">
            <w:pPr>
              <w:pStyle w:val="NormalWeb"/>
            </w:pPr>
          </w:p>
        </w:tc>
      </w:tr>
    </w:tbl>
    <w:p w:rsidR="009E135C" w:rsidRDefault="009E135C" w:rsidP="009E135C">
      <w:pPr>
        <w:jc w:val="both"/>
        <w:rPr>
          <w:sz w:val="24"/>
          <w:szCs w:val="24"/>
        </w:rPr>
      </w:pPr>
    </w:p>
    <w:p w:rsidR="009E135C" w:rsidRDefault="009E135C" w:rsidP="009E135C">
      <w:pPr>
        <w:jc w:val="both"/>
        <w:rPr>
          <w:b/>
          <w:sz w:val="24"/>
          <w:szCs w:val="24"/>
        </w:rPr>
      </w:pPr>
      <w:r w:rsidRPr="00AE6365">
        <w:rPr>
          <w:b/>
          <w:sz w:val="24"/>
          <w:szCs w:val="24"/>
        </w:rPr>
        <w:t>Geçişler İçin Başvuru Koşulları</w:t>
      </w:r>
      <w:r>
        <w:rPr>
          <w:b/>
          <w:sz w:val="24"/>
          <w:szCs w:val="24"/>
        </w:rPr>
        <w:t xml:space="preserve"> </w:t>
      </w:r>
    </w:p>
    <w:p w:rsidR="009E135C" w:rsidRDefault="009E135C" w:rsidP="009E135C">
      <w:pPr>
        <w:ind w:right="-108"/>
        <w:jc w:val="both"/>
        <w:rPr>
          <w:sz w:val="24"/>
          <w:szCs w:val="24"/>
        </w:rPr>
      </w:pPr>
      <w:r>
        <w:rPr>
          <w:bCs/>
          <w:sz w:val="24"/>
          <w:szCs w:val="24"/>
        </w:rPr>
        <w:t xml:space="preserve"> (1) </w:t>
      </w:r>
      <w:r w:rsidRPr="00AE6365">
        <w:rPr>
          <w:bCs/>
          <w:sz w:val="24"/>
          <w:szCs w:val="24"/>
        </w:rPr>
        <w:t>Adayların, y</w:t>
      </w:r>
      <w:r w:rsidRPr="00AE6365">
        <w:rPr>
          <w:sz w:val="24"/>
          <w:szCs w:val="24"/>
        </w:rPr>
        <w:t>atay geçiş için başvurduğu sınıfa veya yarıyıla  kadar ayrılacağı kurumdaki programının bütün derslerini almış ve sınavlarını başarmış olması gerekmektedir.</w:t>
      </w:r>
      <w:r>
        <w:rPr>
          <w:sz w:val="24"/>
          <w:szCs w:val="24"/>
        </w:rPr>
        <w:t xml:space="preserve"> </w:t>
      </w:r>
    </w:p>
    <w:p w:rsidR="009E135C" w:rsidRDefault="009E135C" w:rsidP="009E135C">
      <w:pPr>
        <w:ind w:right="-108"/>
        <w:jc w:val="both"/>
        <w:rPr>
          <w:bCs/>
          <w:sz w:val="24"/>
          <w:szCs w:val="24"/>
        </w:rPr>
      </w:pPr>
    </w:p>
    <w:p w:rsidR="009E135C" w:rsidRPr="00AF78B9" w:rsidRDefault="009E135C" w:rsidP="009E135C">
      <w:pPr>
        <w:ind w:right="-108"/>
        <w:jc w:val="both"/>
        <w:rPr>
          <w:sz w:val="24"/>
          <w:szCs w:val="24"/>
        </w:rPr>
      </w:pPr>
      <w:r>
        <w:rPr>
          <w:bCs/>
          <w:sz w:val="24"/>
          <w:szCs w:val="24"/>
        </w:rPr>
        <w:t xml:space="preserve">(2) </w:t>
      </w:r>
      <w:r w:rsidRPr="00AF78B9">
        <w:rPr>
          <w:bCs/>
          <w:sz w:val="24"/>
          <w:szCs w:val="24"/>
        </w:rPr>
        <w:t xml:space="preserve">Adayların, </w:t>
      </w:r>
      <w:r w:rsidRPr="007E654A">
        <w:rPr>
          <w:sz w:val="24"/>
          <w:szCs w:val="24"/>
        </w:rPr>
        <w:t xml:space="preserve">başvurusu sırasındaki genel not ortalamasının en az 4.00 üzerinden </w:t>
      </w:r>
      <w:r w:rsidRPr="00405AD0">
        <w:rPr>
          <w:sz w:val="24"/>
          <w:szCs w:val="24"/>
        </w:rPr>
        <w:t>3</w:t>
      </w:r>
      <w:r>
        <w:rPr>
          <w:sz w:val="24"/>
          <w:szCs w:val="24"/>
        </w:rPr>
        <w:t>.00</w:t>
      </w:r>
      <w:r w:rsidRPr="00405AD0">
        <w:rPr>
          <w:sz w:val="24"/>
          <w:szCs w:val="24"/>
        </w:rPr>
        <w:t xml:space="preserve"> olması</w:t>
      </w:r>
      <w:r w:rsidRPr="007E654A">
        <w:rPr>
          <w:sz w:val="24"/>
          <w:szCs w:val="24"/>
        </w:rPr>
        <w:t xml:space="preserve"> </w:t>
      </w:r>
      <w:r w:rsidRPr="00A35B8F">
        <w:rPr>
          <w:sz w:val="24"/>
          <w:szCs w:val="24"/>
        </w:rPr>
        <w:t>gerekmektedir. Genel not ortalaması şartını sağlamayan ancak kayıtlı olduğu yıldaki merkezi yerleştirme puanın, geçmek istediği diploma programının o yılki taban puanına eşit veya yüksek olan öğrenciler, genel not ortalaması ile yerleştirme tamamlandıktan sonra boş kontenjan olması halinde değerlendirilir.</w:t>
      </w:r>
    </w:p>
    <w:p w:rsidR="009E135C" w:rsidRPr="00405AD0" w:rsidRDefault="009E135C" w:rsidP="009E135C">
      <w:pPr>
        <w:ind w:right="-108"/>
        <w:jc w:val="both"/>
        <w:rPr>
          <w:sz w:val="24"/>
          <w:szCs w:val="24"/>
        </w:rPr>
      </w:pPr>
      <w:r w:rsidRPr="0083389A">
        <w:rPr>
          <w:sz w:val="24"/>
          <w:szCs w:val="24"/>
        </w:rPr>
        <w:lastRenderedPageBreak/>
        <w:t>(</w:t>
      </w:r>
      <w:r>
        <w:rPr>
          <w:sz w:val="24"/>
          <w:szCs w:val="24"/>
        </w:rPr>
        <w:t>3</w:t>
      </w:r>
      <w:r w:rsidRPr="0083389A">
        <w:rPr>
          <w:sz w:val="24"/>
          <w:szCs w:val="24"/>
        </w:rPr>
        <w:t xml:space="preserve">) </w:t>
      </w:r>
      <w:r w:rsidRPr="00405AD0">
        <w:rPr>
          <w:sz w:val="24"/>
          <w:szCs w:val="24"/>
        </w:rPr>
        <w:t xml:space="preserve">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sidRPr="00405AD0">
        <w:rPr>
          <w:sz w:val="24"/>
          <w:szCs w:val="24"/>
        </w:rPr>
        <w:t>dahilinde</w:t>
      </w:r>
      <w:proofErr w:type="gramEnd"/>
      <w:r w:rsidRPr="00405AD0">
        <w:rPr>
          <w:sz w:val="24"/>
          <w:szCs w:val="24"/>
        </w:rPr>
        <w:t xml:space="preserve"> yatay geçiş yapabilirler. </w:t>
      </w:r>
    </w:p>
    <w:p w:rsidR="009E135C" w:rsidRPr="0089084D" w:rsidRDefault="009E135C" w:rsidP="009E135C">
      <w:pPr>
        <w:ind w:right="-108"/>
        <w:jc w:val="both"/>
        <w:rPr>
          <w:sz w:val="24"/>
          <w:szCs w:val="24"/>
        </w:rPr>
      </w:pPr>
      <w:r>
        <w:rPr>
          <w:sz w:val="24"/>
          <w:szCs w:val="24"/>
        </w:rPr>
        <w:t>(4</w:t>
      </w:r>
      <w:r w:rsidRPr="0089084D">
        <w:rPr>
          <w:sz w:val="24"/>
          <w:szCs w:val="24"/>
        </w:rPr>
        <w:t xml:space="preserve">) </w:t>
      </w:r>
      <w:r>
        <w:rPr>
          <w:sz w:val="24"/>
          <w:szCs w:val="24"/>
        </w:rPr>
        <w:t>U</w:t>
      </w:r>
      <w:r w:rsidRPr="0089084D">
        <w:rPr>
          <w:sz w:val="24"/>
          <w:szCs w:val="24"/>
        </w:rPr>
        <w:t>yarma cezasından daha ağır bir disiplin cezası alan öğrenci</w:t>
      </w:r>
      <w:r>
        <w:rPr>
          <w:sz w:val="24"/>
          <w:szCs w:val="24"/>
        </w:rPr>
        <w:t xml:space="preserve">ler </w:t>
      </w:r>
      <w:r w:rsidRPr="0089084D">
        <w:rPr>
          <w:sz w:val="24"/>
          <w:szCs w:val="24"/>
        </w:rPr>
        <w:t>yatay geçiş yapamaz.</w:t>
      </w:r>
    </w:p>
    <w:p w:rsidR="009E135C" w:rsidRDefault="009E135C" w:rsidP="009E135C">
      <w:pPr>
        <w:ind w:right="-108"/>
        <w:jc w:val="both"/>
        <w:rPr>
          <w:sz w:val="24"/>
          <w:szCs w:val="24"/>
        </w:rPr>
      </w:pPr>
      <w:r>
        <w:rPr>
          <w:sz w:val="24"/>
          <w:szCs w:val="24"/>
        </w:rPr>
        <w:t xml:space="preserve">(5) </w:t>
      </w:r>
      <w:r w:rsidRPr="00AE6365">
        <w:rPr>
          <w:sz w:val="24"/>
          <w:szCs w:val="24"/>
        </w:rPr>
        <w:t>Kayıt dondurmuş olmak, yatay geçiş hakkından yararlanmak için engel teşkil etmez.</w:t>
      </w:r>
      <w:r>
        <w:rPr>
          <w:sz w:val="24"/>
          <w:szCs w:val="24"/>
        </w:rPr>
        <w:t xml:space="preserve"> </w:t>
      </w:r>
    </w:p>
    <w:p w:rsidR="00FC1B88" w:rsidRDefault="00FC1B88" w:rsidP="00305FDD">
      <w:pPr>
        <w:jc w:val="both"/>
        <w:rPr>
          <w:b/>
          <w:sz w:val="24"/>
          <w:szCs w:val="24"/>
        </w:rPr>
      </w:pPr>
    </w:p>
    <w:p w:rsidR="00305FDD" w:rsidRDefault="00305FDD" w:rsidP="00305FDD">
      <w:pPr>
        <w:jc w:val="both"/>
        <w:rPr>
          <w:b/>
          <w:sz w:val="24"/>
          <w:szCs w:val="24"/>
        </w:rPr>
      </w:pPr>
      <w:r w:rsidRPr="00AE6365">
        <w:rPr>
          <w:b/>
          <w:sz w:val="24"/>
          <w:szCs w:val="24"/>
        </w:rPr>
        <w:t>Özel Durumlardan Dolayı Yatay Geçiş Yapacaklar İçin Başvuru Koşulları</w:t>
      </w:r>
    </w:p>
    <w:p w:rsidR="00305FDD" w:rsidRPr="00305FDD" w:rsidRDefault="00305FDD" w:rsidP="00305FDD">
      <w:pPr>
        <w:jc w:val="both"/>
        <w:rPr>
          <w:b/>
          <w:sz w:val="24"/>
          <w:szCs w:val="24"/>
        </w:rPr>
      </w:pPr>
      <w:r>
        <w:rPr>
          <w:b/>
          <w:sz w:val="24"/>
          <w:szCs w:val="24"/>
        </w:rPr>
        <w:t xml:space="preserve"> </w:t>
      </w:r>
      <w:r w:rsidRPr="004C2949">
        <w:rPr>
          <w:sz w:val="24"/>
          <w:szCs w:val="24"/>
        </w:rPr>
        <w:t>(1)</w:t>
      </w:r>
      <w:r>
        <w:rPr>
          <w:sz w:val="24"/>
          <w:szCs w:val="24"/>
        </w:rPr>
        <w:t xml:space="preserve"> </w:t>
      </w:r>
      <w:r w:rsidRPr="00AE6365">
        <w:rPr>
          <w:sz w:val="24"/>
          <w:szCs w:val="24"/>
        </w:rPr>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w:t>
      </w:r>
      <w:r>
        <w:rPr>
          <w:sz w:val="24"/>
          <w:szCs w:val="24"/>
        </w:rPr>
        <w:t xml:space="preserve">-öğretim yılının </w:t>
      </w:r>
      <w:proofErr w:type="gramStart"/>
      <w:r>
        <w:rPr>
          <w:sz w:val="24"/>
          <w:szCs w:val="24"/>
        </w:rPr>
        <w:t xml:space="preserve">başlamasından  </w:t>
      </w:r>
      <w:r w:rsidRPr="00AE6365">
        <w:rPr>
          <w:sz w:val="24"/>
          <w:szCs w:val="24"/>
        </w:rPr>
        <w:t>itibaren</w:t>
      </w:r>
      <w:proofErr w:type="gramEnd"/>
      <w:r w:rsidRPr="00AE6365">
        <w:rPr>
          <w:sz w:val="24"/>
          <w:szCs w:val="24"/>
        </w:rPr>
        <w:t xml:space="preserve"> en geç bir ay içinde kayıtlı oldukları diploma programına girişteki merkezi yerleştirme puanları, başvurulan diploma programının yerleştikleri yıl itibariyle taban puanından daha yüksek olmak şartı ile kontenjan aranmaksızın nakledilebilirler.</w:t>
      </w:r>
    </w:p>
    <w:p w:rsidR="00305FDD" w:rsidRDefault="00305FDD" w:rsidP="00305FDD">
      <w:pPr>
        <w:jc w:val="both"/>
        <w:rPr>
          <w:sz w:val="24"/>
          <w:szCs w:val="24"/>
        </w:rPr>
      </w:pPr>
    </w:p>
    <w:p w:rsidR="00305FDD" w:rsidRDefault="00305FDD" w:rsidP="00305FDD">
      <w:pPr>
        <w:jc w:val="both"/>
        <w:rPr>
          <w:sz w:val="24"/>
          <w:szCs w:val="24"/>
        </w:rPr>
      </w:pPr>
      <w:r>
        <w:rPr>
          <w:sz w:val="24"/>
          <w:szCs w:val="24"/>
        </w:rPr>
        <w:t xml:space="preserve">(2) Anne/babaları devlet hizmetinde görevli olarak yurt dışında çalışan ve görevleri sona ermesi sebebiyle Türkiye’ye dönen veya anne/babaları yurt dışında işçi olarak çalıştıktan sonra </w:t>
      </w:r>
      <w:r w:rsidRPr="00AE6365">
        <w:rPr>
          <w:sz w:val="24"/>
          <w:szCs w:val="24"/>
        </w:rPr>
        <w:t>kesin dönüş yap</w:t>
      </w:r>
      <w:r>
        <w:rPr>
          <w:sz w:val="24"/>
          <w:szCs w:val="24"/>
        </w:rPr>
        <w:t xml:space="preserve">an öğrenciler, </w:t>
      </w:r>
      <w:r w:rsidRPr="00AE6365">
        <w:rPr>
          <w:sz w:val="24"/>
          <w:szCs w:val="24"/>
        </w:rPr>
        <w:t>yabancı dil sınıfı ha</w:t>
      </w:r>
      <w:r>
        <w:rPr>
          <w:sz w:val="24"/>
          <w:szCs w:val="24"/>
        </w:rPr>
        <w:t xml:space="preserve">riç en az bir yıl okumuş ve </w:t>
      </w:r>
      <w:proofErr w:type="gramStart"/>
      <w:r>
        <w:rPr>
          <w:sz w:val="24"/>
          <w:szCs w:val="24"/>
        </w:rPr>
        <w:t xml:space="preserve">yıl </w:t>
      </w:r>
      <w:r w:rsidRPr="00AE6365">
        <w:rPr>
          <w:sz w:val="24"/>
          <w:szCs w:val="24"/>
        </w:rPr>
        <w:t>sonu</w:t>
      </w:r>
      <w:proofErr w:type="gramEnd"/>
      <w:r w:rsidRPr="00AE6365">
        <w:rPr>
          <w:sz w:val="24"/>
          <w:szCs w:val="24"/>
        </w:rPr>
        <w:t xml:space="preserve"> sınavlarının tamamını başarı ile vermiş olması </w:t>
      </w:r>
      <w:r>
        <w:rPr>
          <w:sz w:val="24"/>
          <w:szCs w:val="24"/>
        </w:rPr>
        <w:t xml:space="preserve">halinde </w:t>
      </w:r>
      <w:r w:rsidRPr="00AE6365">
        <w:rPr>
          <w:sz w:val="24"/>
          <w:szCs w:val="24"/>
        </w:rPr>
        <w:t>yatay geçiş için başvuru</w:t>
      </w:r>
      <w:r>
        <w:rPr>
          <w:sz w:val="24"/>
          <w:szCs w:val="24"/>
        </w:rPr>
        <w:t xml:space="preserve"> yapabilir.</w:t>
      </w:r>
      <w:r w:rsidRPr="00AE6365">
        <w:rPr>
          <w:sz w:val="24"/>
          <w:szCs w:val="24"/>
        </w:rPr>
        <w:t xml:space="preserve"> </w:t>
      </w:r>
      <w:r>
        <w:rPr>
          <w:sz w:val="24"/>
          <w:szCs w:val="24"/>
        </w:rPr>
        <w:t>Bu öğrencilerin y</w:t>
      </w:r>
      <w:r w:rsidRPr="00AE6365">
        <w:rPr>
          <w:sz w:val="24"/>
          <w:szCs w:val="24"/>
        </w:rPr>
        <w:t>atay geçiş başvurusu ilgili yönetim kurulu tarafından yurt dışı yatay geçiş kontenjanı kapsamı dışında değerlendirir.</w:t>
      </w:r>
      <w:r>
        <w:rPr>
          <w:sz w:val="24"/>
          <w:szCs w:val="24"/>
        </w:rPr>
        <w:t xml:space="preserve"> </w:t>
      </w:r>
    </w:p>
    <w:p w:rsidR="00305FDD" w:rsidRDefault="00305FDD" w:rsidP="00305FDD">
      <w:pPr>
        <w:jc w:val="both"/>
        <w:rPr>
          <w:sz w:val="24"/>
          <w:szCs w:val="24"/>
        </w:rPr>
      </w:pPr>
    </w:p>
    <w:p w:rsidR="00305FDD" w:rsidRDefault="00305FDD" w:rsidP="00305FDD">
      <w:pPr>
        <w:jc w:val="both"/>
        <w:rPr>
          <w:sz w:val="24"/>
          <w:szCs w:val="24"/>
        </w:rPr>
      </w:pPr>
      <w:r>
        <w:rPr>
          <w:sz w:val="24"/>
          <w:szCs w:val="24"/>
        </w:rPr>
        <w:t xml:space="preserve">(3) </w:t>
      </w:r>
      <w:r w:rsidRPr="00AE6365">
        <w:rPr>
          <w:sz w:val="24"/>
          <w:szCs w:val="24"/>
        </w:rPr>
        <w:t xml:space="preserve">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24 Nisan 2010 tarih ve 27561 Sayılı </w:t>
      </w:r>
      <w:proofErr w:type="gramStart"/>
      <w:r w:rsidRPr="00AE6365">
        <w:rPr>
          <w:sz w:val="24"/>
          <w:szCs w:val="24"/>
        </w:rPr>
        <w:t>Yükseköğretim  Kurumları</w:t>
      </w:r>
      <w:proofErr w:type="gramEnd"/>
      <w:r w:rsidRPr="00AE6365">
        <w:rPr>
          <w:sz w:val="24"/>
          <w:szCs w:val="24"/>
        </w:rPr>
        <w:t xml:space="preserve"> </w:t>
      </w:r>
      <w:proofErr w:type="spellStart"/>
      <w:r w:rsidRPr="00AE6365">
        <w:rPr>
          <w:sz w:val="24"/>
          <w:szCs w:val="24"/>
        </w:rPr>
        <w:t>Önlisans</w:t>
      </w:r>
      <w:proofErr w:type="spellEnd"/>
      <w:r w:rsidRPr="00AE6365">
        <w:rPr>
          <w:sz w:val="24"/>
          <w:szCs w:val="24"/>
        </w:rPr>
        <w:t xml:space="preserve"> ve Lisans Düzeyindeki Programla</w:t>
      </w:r>
      <w:r>
        <w:rPr>
          <w:sz w:val="24"/>
          <w:szCs w:val="24"/>
        </w:rPr>
        <w:t xml:space="preserve">r Arası Geçiş, Çift </w:t>
      </w:r>
      <w:proofErr w:type="spellStart"/>
      <w:r>
        <w:rPr>
          <w:sz w:val="24"/>
          <w:szCs w:val="24"/>
        </w:rPr>
        <w:t>Anadal</w:t>
      </w:r>
      <w:proofErr w:type="spellEnd"/>
      <w:r>
        <w:rPr>
          <w:sz w:val="24"/>
          <w:szCs w:val="24"/>
        </w:rPr>
        <w:t xml:space="preserve">, </w:t>
      </w:r>
      <w:proofErr w:type="spellStart"/>
      <w:r>
        <w:rPr>
          <w:sz w:val="24"/>
          <w:szCs w:val="24"/>
        </w:rPr>
        <w:t>Yand</w:t>
      </w:r>
      <w:r w:rsidRPr="00AE6365">
        <w:rPr>
          <w:sz w:val="24"/>
          <w:szCs w:val="24"/>
        </w:rPr>
        <w:t>al</w:t>
      </w:r>
      <w:proofErr w:type="spellEnd"/>
      <w:r w:rsidRPr="00AE6365">
        <w:rPr>
          <w:sz w:val="24"/>
          <w:szCs w:val="24"/>
        </w:rPr>
        <w:t xml:space="preserve"> ile Kurumlar Arası Kredi Transferi Yapılması Esaslarına İlişkin </w:t>
      </w:r>
      <w:r>
        <w:rPr>
          <w:sz w:val="24"/>
          <w:szCs w:val="24"/>
        </w:rPr>
        <w:t>bu yönergede</w:t>
      </w:r>
      <w:r w:rsidRPr="00AE6365">
        <w:rPr>
          <w:sz w:val="24"/>
          <w:szCs w:val="24"/>
        </w:rPr>
        <w:t>ki geçiş şartları çerçevesinde eşdeğer bir diploma programına yatay geçiş yapabilirler.</w:t>
      </w:r>
    </w:p>
    <w:p w:rsidR="00D622A0" w:rsidRDefault="00D622A0" w:rsidP="00D622A0">
      <w:pPr>
        <w:jc w:val="both"/>
        <w:rPr>
          <w:b/>
          <w:sz w:val="24"/>
          <w:szCs w:val="24"/>
        </w:rPr>
      </w:pPr>
      <w:r>
        <w:rPr>
          <w:b/>
          <w:sz w:val="24"/>
          <w:szCs w:val="24"/>
        </w:rPr>
        <w:t>B</w:t>
      </w:r>
      <w:r w:rsidRPr="00AE6365">
        <w:rPr>
          <w:b/>
          <w:sz w:val="24"/>
          <w:szCs w:val="24"/>
        </w:rPr>
        <w:t>aşvuruların değerlendirilmesi</w:t>
      </w:r>
    </w:p>
    <w:p w:rsidR="00D622A0" w:rsidRPr="003B5A8B" w:rsidRDefault="00D622A0" w:rsidP="003B5A8B">
      <w:pPr>
        <w:pStyle w:val="ListeParagraf"/>
        <w:numPr>
          <w:ilvl w:val="0"/>
          <w:numId w:val="2"/>
        </w:numPr>
        <w:jc w:val="both"/>
        <w:rPr>
          <w:sz w:val="24"/>
          <w:szCs w:val="24"/>
        </w:rPr>
      </w:pPr>
      <w:r w:rsidRPr="003B5A8B">
        <w:rPr>
          <w:sz w:val="24"/>
          <w:szCs w:val="24"/>
        </w:rPr>
        <w:t xml:space="preserve">Yatay geçiş başvuruları ile ilgili ön değerlendirme, ilgili yönetim kurulları tarafından oluşturulan komisyonlar tarafından yapılır. Geçişte yerleştirme işlemi,  adayların genel not ortalaması dikkate alınarak büyükten küçüğe doğru tercih sırasına bağlı olarak kontenjan sayısınca yapılır. </w:t>
      </w:r>
    </w:p>
    <w:p w:rsidR="003B5A8B" w:rsidRPr="00995B6E" w:rsidRDefault="003B5A8B" w:rsidP="003B5A8B">
      <w:pPr>
        <w:pStyle w:val="3-NormalYaz"/>
        <w:spacing w:line="240" w:lineRule="exact"/>
        <w:ind w:left="45"/>
        <w:rPr>
          <w:b/>
          <w:sz w:val="24"/>
          <w:szCs w:val="24"/>
        </w:rPr>
      </w:pPr>
      <w:r w:rsidRPr="00995B6E">
        <w:rPr>
          <w:b/>
          <w:sz w:val="24"/>
          <w:szCs w:val="24"/>
        </w:rPr>
        <w:lastRenderedPageBreak/>
        <w:t>Sonuçların ilanı ve intibak programı</w:t>
      </w:r>
    </w:p>
    <w:p w:rsidR="003B5A8B" w:rsidRPr="00C1104A" w:rsidRDefault="003B5A8B" w:rsidP="003B5A8B">
      <w:pPr>
        <w:pStyle w:val="3-NormalYaz"/>
        <w:spacing w:line="240" w:lineRule="exact"/>
        <w:rPr>
          <w:sz w:val="24"/>
          <w:szCs w:val="24"/>
        </w:rPr>
      </w:pPr>
      <w:r w:rsidRPr="00995B6E">
        <w:rPr>
          <w:sz w:val="24"/>
          <w:szCs w:val="24"/>
        </w:rPr>
        <w:t xml:space="preserve">(1) Her bir diploma programına yatay geçiş için başvuran adayların değerlendirme sonuçları, </w:t>
      </w:r>
      <w:r>
        <w:rPr>
          <w:sz w:val="24"/>
          <w:szCs w:val="24"/>
        </w:rPr>
        <w:t>R</w:t>
      </w:r>
      <w:r w:rsidRPr="007E654A">
        <w:rPr>
          <w:sz w:val="24"/>
          <w:szCs w:val="24"/>
        </w:rPr>
        <w:t>ektörlük tarafından ilan edilen tarihlerde</w:t>
      </w:r>
      <w:r>
        <w:rPr>
          <w:sz w:val="24"/>
          <w:szCs w:val="24"/>
        </w:rPr>
        <w:t xml:space="preserve"> Üniversitemizin web</w:t>
      </w:r>
      <w:r w:rsidRPr="00995B6E">
        <w:rPr>
          <w:sz w:val="24"/>
          <w:szCs w:val="24"/>
        </w:rPr>
        <w:t xml:space="preserve"> sayfasında duyurulur. </w:t>
      </w:r>
      <w:r>
        <w:rPr>
          <w:sz w:val="24"/>
          <w:szCs w:val="24"/>
        </w:rPr>
        <w:t>Ayrıca y</w:t>
      </w:r>
      <w:r w:rsidRPr="00C1104A">
        <w:rPr>
          <w:sz w:val="24"/>
          <w:szCs w:val="24"/>
        </w:rPr>
        <w:t>atay geçiş hakkı kazananlara kendileri hakkındaki karar yazılı olarak</w:t>
      </w:r>
      <w:r>
        <w:rPr>
          <w:sz w:val="24"/>
          <w:szCs w:val="24"/>
        </w:rPr>
        <w:t xml:space="preserve"> ilgili birimce</w:t>
      </w:r>
      <w:r w:rsidRPr="00C1104A">
        <w:rPr>
          <w:sz w:val="24"/>
          <w:szCs w:val="24"/>
        </w:rPr>
        <w:t xml:space="preserve"> tebliğ edilir. </w:t>
      </w:r>
    </w:p>
    <w:p w:rsidR="003B5A8B" w:rsidRPr="00995B6E" w:rsidRDefault="003B5A8B" w:rsidP="003B5A8B">
      <w:pPr>
        <w:pStyle w:val="3-NormalYaz"/>
        <w:spacing w:line="240" w:lineRule="exact"/>
        <w:rPr>
          <w:sz w:val="24"/>
          <w:szCs w:val="24"/>
        </w:rPr>
      </w:pPr>
    </w:p>
    <w:p w:rsidR="003B5A8B" w:rsidRDefault="003B5A8B" w:rsidP="003B5A8B">
      <w:pPr>
        <w:pStyle w:val="3-NormalYaz"/>
        <w:spacing w:line="240" w:lineRule="exact"/>
        <w:rPr>
          <w:sz w:val="24"/>
          <w:szCs w:val="24"/>
        </w:rPr>
      </w:pPr>
      <w:r w:rsidRPr="00995B6E">
        <w:rPr>
          <w:sz w:val="24"/>
          <w:szCs w:val="24"/>
        </w:rPr>
        <w:t xml:space="preserve">(2) </w:t>
      </w:r>
      <w:r w:rsidRPr="001148AD">
        <w:rPr>
          <w:sz w:val="24"/>
          <w:szCs w:val="24"/>
        </w:rPr>
        <w:t>Yeterli başvuru olması halinde kontenjan sayısı kadar yedek aday ilan edilir.</w:t>
      </w:r>
      <w:r w:rsidRPr="009060A5">
        <w:rPr>
          <w:color w:val="FF0000"/>
          <w:sz w:val="24"/>
          <w:szCs w:val="24"/>
        </w:rPr>
        <w:t xml:space="preserve">  </w:t>
      </w:r>
      <w:r w:rsidRPr="00995B6E">
        <w:rPr>
          <w:sz w:val="24"/>
          <w:szCs w:val="24"/>
        </w:rPr>
        <w:t>Belirlenen süre içinde asıl adaylardan başvuru yapılmaması halinde sırayla yedekler çağrılır.</w:t>
      </w:r>
    </w:p>
    <w:p w:rsidR="009E135C" w:rsidRDefault="009E135C" w:rsidP="009E135C">
      <w:pPr>
        <w:ind w:right="-108"/>
        <w:jc w:val="both"/>
        <w:rPr>
          <w:sz w:val="24"/>
          <w:szCs w:val="24"/>
        </w:rPr>
      </w:pPr>
    </w:p>
    <w:p w:rsidR="009E135C" w:rsidRPr="00FC1B88" w:rsidRDefault="009E135C" w:rsidP="009E135C">
      <w:pPr>
        <w:ind w:right="-108"/>
        <w:jc w:val="both"/>
        <w:rPr>
          <w:rFonts w:ascii="Times New Roman" w:hAnsi="Times New Roman" w:cs="Times New Roman"/>
          <w:b/>
          <w:sz w:val="24"/>
          <w:szCs w:val="24"/>
        </w:rPr>
      </w:pPr>
      <w:r w:rsidRPr="00FC1B88">
        <w:rPr>
          <w:rFonts w:ascii="Times New Roman" w:hAnsi="Times New Roman" w:cs="Times New Roman"/>
          <w:b/>
          <w:sz w:val="24"/>
          <w:szCs w:val="24"/>
        </w:rPr>
        <w:t>Başvuru İçin Gerekli Belgeler</w:t>
      </w:r>
    </w:p>
    <w:p w:rsidR="009E135C" w:rsidRPr="00FC1B88" w:rsidRDefault="009E135C" w:rsidP="009E135C">
      <w:pPr>
        <w:pStyle w:val="ListeParagraf"/>
        <w:numPr>
          <w:ilvl w:val="0"/>
          <w:numId w:val="1"/>
        </w:numPr>
        <w:ind w:right="-108"/>
        <w:jc w:val="both"/>
        <w:rPr>
          <w:rFonts w:ascii="Times New Roman" w:hAnsi="Times New Roman" w:cs="Times New Roman"/>
          <w:sz w:val="24"/>
          <w:szCs w:val="24"/>
        </w:rPr>
      </w:pPr>
      <w:r w:rsidRPr="00FC1B88">
        <w:rPr>
          <w:rFonts w:ascii="Times New Roman" w:hAnsi="Times New Roman" w:cs="Times New Roman"/>
          <w:sz w:val="24"/>
          <w:szCs w:val="24"/>
        </w:rPr>
        <w:t>Not Çizelgesi (</w:t>
      </w:r>
      <w:proofErr w:type="spellStart"/>
      <w:r w:rsidRPr="00FC1B88">
        <w:rPr>
          <w:rFonts w:ascii="Times New Roman" w:hAnsi="Times New Roman" w:cs="Times New Roman"/>
          <w:sz w:val="24"/>
          <w:szCs w:val="24"/>
        </w:rPr>
        <w:t>Transkript</w:t>
      </w:r>
      <w:proofErr w:type="spellEnd"/>
      <w:r w:rsidRPr="00FC1B88">
        <w:rPr>
          <w:rFonts w:ascii="Times New Roman" w:hAnsi="Times New Roman" w:cs="Times New Roman"/>
          <w:sz w:val="24"/>
          <w:szCs w:val="24"/>
        </w:rPr>
        <w:t xml:space="preserve">) </w:t>
      </w:r>
    </w:p>
    <w:p w:rsidR="009E135C" w:rsidRPr="00FC1B88" w:rsidRDefault="009E135C" w:rsidP="009E135C">
      <w:pPr>
        <w:pStyle w:val="ListeParagraf"/>
        <w:numPr>
          <w:ilvl w:val="0"/>
          <w:numId w:val="1"/>
        </w:numPr>
        <w:ind w:right="-108"/>
        <w:jc w:val="both"/>
        <w:rPr>
          <w:rFonts w:ascii="Times New Roman" w:hAnsi="Times New Roman" w:cs="Times New Roman"/>
          <w:sz w:val="24"/>
          <w:szCs w:val="24"/>
        </w:rPr>
      </w:pPr>
      <w:r w:rsidRPr="00FC1B88">
        <w:rPr>
          <w:rFonts w:ascii="Times New Roman" w:hAnsi="Times New Roman" w:cs="Times New Roman"/>
          <w:sz w:val="24"/>
          <w:szCs w:val="24"/>
        </w:rPr>
        <w:t xml:space="preserve">Genel Not Ortalaması şartını sağlayamayan adaylar için geçmek istediği diploma programının o yılki taban puanına eşit veya yüksek olduğunu gösterir Yerleştirme sınavı (LGS, LYS) Sonuç Belgesi </w:t>
      </w:r>
    </w:p>
    <w:p w:rsidR="009E135C" w:rsidRPr="00FC1B88" w:rsidRDefault="009E135C" w:rsidP="009E135C">
      <w:pPr>
        <w:pStyle w:val="ListeParagraf"/>
        <w:numPr>
          <w:ilvl w:val="0"/>
          <w:numId w:val="1"/>
        </w:numPr>
        <w:ind w:right="-108"/>
        <w:jc w:val="both"/>
        <w:rPr>
          <w:rFonts w:ascii="Times New Roman" w:hAnsi="Times New Roman" w:cs="Times New Roman"/>
          <w:sz w:val="24"/>
          <w:szCs w:val="24"/>
        </w:rPr>
      </w:pPr>
      <w:r w:rsidRPr="00FC1B88">
        <w:rPr>
          <w:rFonts w:ascii="Times New Roman" w:hAnsi="Times New Roman" w:cs="Times New Roman"/>
          <w:sz w:val="24"/>
          <w:szCs w:val="24"/>
        </w:rPr>
        <w:t>Uyarma cezası hariç Disiplin Cezası almadığına dair belge</w:t>
      </w:r>
    </w:p>
    <w:p w:rsidR="009E135C" w:rsidRDefault="00CB77E6" w:rsidP="009E135C">
      <w:pPr>
        <w:pStyle w:val="ListeParagraf"/>
        <w:numPr>
          <w:ilvl w:val="0"/>
          <w:numId w:val="1"/>
        </w:numPr>
        <w:ind w:right="-108"/>
        <w:jc w:val="both"/>
        <w:rPr>
          <w:rFonts w:ascii="Times New Roman" w:hAnsi="Times New Roman" w:cs="Times New Roman"/>
          <w:sz w:val="24"/>
          <w:szCs w:val="24"/>
        </w:rPr>
      </w:pPr>
      <w:r w:rsidRPr="00FC1B88">
        <w:rPr>
          <w:rFonts w:ascii="Times New Roman" w:hAnsi="Times New Roman" w:cs="Times New Roman"/>
          <w:sz w:val="24"/>
          <w:szCs w:val="24"/>
        </w:rPr>
        <w:t>Ders içeriklerini gösterir onaylı belge</w:t>
      </w:r>
    </w:p>
    <w:p w:rsidR="004E22E1" w:rsidRDefault="004E22E1" w:rsidP="004E22E1">
      <w:pPr>
        <w:pStyle w:val="ListeParagraf"/>
        <w:jc w:val="both"/>
        <w:rPr>
          <w:rFonts w:ascii="Times New Roman" w:hAnsi="Times New Roman" w:cs="Times New Roman"/>
          <w:sz w:val="24"/>
          <w:szCs w:val="24"/>
        </w:rPr>
      </w:pPr>
    </w:p>
    <w:p w:rsidR="004E22E1" w:rsidRPr="004E22E1" w:rsidRDefault="004E22E1" w:rsidP="004E22E1">
      <w:pPr>
        <w:pStyle w:val="ListeParagraf"/>
        <w:jc w:val="both"/>
        <w:rPr>
          <w:rFonts w:ascii="Times New Roman" w:hAnsi="Times New Roman" w:cs="Times New Roman"/>
          <w:sz w:val="28"/>
          <w:szCs w:val="28"/>
        </w:rPr>
      </w:pPr>
    </w:p>
    <w:p w:rsidR="004E22E1" w:rsidRPr="004E22E1" w:rsidRDefault="004E22E1" w:rsidP="004E22E1">
      <w:pPr>
        <w:jc w:val="both"/>
        <w:rPr>
          <w:rFonts w:ascii="Times New Roman" w:hAnsi="Times New Roman" w:cs="Times New Roman"/>
          <w:b/>
          <w:i/>
          <w:sz w:val="28"/>
          <w:szCs w:val="28"/>
        </w:rPr>
      </w:pPr>
      <w:r w:rsidRPr="004E22E1">
        <w:rPr>
          <w:rFonts w:ascii="Times New Roman" w:hAnsi="Times New Roman" w:cs="Times New Roman"/>
          <w:b/>
          <w:i/>
          <w:sz w:val="28"/>
          <w:szCs w:val="28"/>
        </w:rPr>
        <w:t xml:space="preserve">Başvurular Yüksekokul Müdürlüğüne şahsen veya posta yolu ile yapılır. </w:t>
      </w:r>
    </w:p>
    <w:p w:rsidR="004E22E1" w:rsidRPr="004E22E1" w:rsidRDefault="004E22E1" w:rsidP="004E22E1">
      <w:pPr>
        <w:ind w:right="-108"/>
        <w:jc w:val="both"/>
        <w:rPr>
          <w:rFonts w:ascii="Times New Roman" w:hAnsi="Times New Roman" w:cs="Times New Roman"/>
          <w:sz w:val="24"/>
          <w:szCs w:val="24"/>
        </w:rPr>
      </w:pPr>
    </w:p>
    <w:p w:rsidR="00FC1B88" w:rsidRPr="004E22E1" w:rsidRDefault="00FC1B88" w:rsidP="00FC1B88">
      <w:pPr>
        <w:ind w:right="-108"/>
        <w:jc w:val="both"/>
        <w:rPr>
          <w:rFonts w:ascii="Times New Roman" w:hAnsi="Times New Roman" w:cs="Times New Roman"/>
          <w:b/>
          <w:sz w:val="24"/>
          <w:szCs w:val="24"/>
        </w:rPr>
      </w:pPr>
      <w:r w:rsidRPr="004E22E1">
        <w:rPr>
          <w:rFonts w:ascii="Times New Roman" w:hAnsi="Times New Roman" w:cs="Times New Roman"/>
          <w:b/>
          <w:sz w:val="24"/>
          <w:szCs w:val="24"/>
        </w:rPr>
        <w:t>İletişim</w:t>
      </w:r>
    </w:p>
    <w:p w:rsidR="00FC1B88" w:rsidRPr="004E22E1" w:rsidRDefault="00FC1B88" w:rsidP="00FC1B88">
      <w:pPr>
        <w:ind w:right="-108"/>
        <w:jc w:val="both"/>
        <w:rPr>
          <w:rFonts w:ascii="Times New Roman" w:hAnsi="Times New Roman" w:cs="Times New Roman"/>
          <w:b/>
          <w:sz w:val="24"/>
          <w:szCs w:val="24"/>
        </w:rPr>
      </w:pPr>
      <w:r w:rsidRPr="004E22E1">
        <w:rPr>
          <w:rFonts w:ascii="Times New Roman" w:hAnsi="Times New Roman" w:cs="Times New Roman"/>
          <w:b/>
          <w:sz w:val="24"/>
          <w:szCs w:val="24"/>
        </w:rPr>
        <w:t xml:space="preserve">Adres </w:t>
      </w:r>
    </w:p>
    <w:p w:rsidR="00FC1B88" w:rsidRDefault="00FC1B88" w:rsidP="00FC1B88">
      <w:pPr>
        <w:ind w:right="-108"/>
        <w:jc w:val="both"/>
        <w:rPr>
          <w:rFonts w:ascii="Times New Roman" w:hAnsi="Times New Roman" w:cs="Times New Roman"/>
          <w:sz w:val="24"/>
          <w:szCs w:val="24"/>
        </w:rPr>
      </w:pPr>
      <w:r>
        <w:rPr>
          <w:rFonts w:ascii="Times New Roman" w:hAnsi="Times New Roman" w:cs="Times New Roman"/>
          <w:sz w:val="24"/>
          <w:szCs w:val="24"/>
        </w:rPr>
        <w:t xml:space="preserve">Menderes Mahallesi </w:t>
      </w:r>
      <w:proofErr w:type="spellStart"/>
      <w:r>
        <w:rPr>
          <w:rFonts w:ascii="Times New Roman" w:hAnsi="Times New Roman" w:cs="Times New Roman"/>
          <w:sz w:val="24"/>
          <w:szCs w:val="24"/>
        </w:rPr>
        <w:t>Dr.İsa</w:t>
      </w:r>
      <w:proofErr w:type="spellEnd"/>
      <w:r>
        <w:rPr>
          <w:rFonts w:ascii="Times New Roman" w:hAnsi="Times New Roman" w:cs="Times New Roman"/>
          <w:sz w:val="24"/>
          <w:szCs w:val="24"/>
        </w:rPr>
        <w:t xml:space="preserve"> Köklü Caddesi </w:t>
      </w:r>
      <w:proofErr w:type="gramStart"/>
      <w:r>
        <w:rPr>
          <w:rFonts w:ascii="Times New Roman" w:hAnsi="Times New Roman" w:cs="Times New Roman"/>
          <w:sz w:val="24"/>
          <w:szCs w:val="24"/>
        </w:rPr>
        <w:t>No : 44</w:t>
      </w:r>
      <w:proofErr w:type="gramEnd"/>
      <w:r>
        <w:rPr>
          <w:rFonts w:ascii="Times New Roman" w:hAnsi="Times New Roman" w:cs="Times New Roman"/>
          <w:sz w:val="24"/>
          <w:szCs w:val="24"/>
        </w:rPr>
        <w:t xml:space="preserve"> 32500 Eğirdir ISPARTA </w:t>
      </w:r>
    </w:p>
    <w:p w:rsidR="00FC1B88" w:rsidRDefault="00FC1B88" w:rsidP="00FC1B88">
      <w:pPr>
        <w:ind w:right="-108"/>
        <w:jc w:val="both"/>
        <w:rPr>
          <w:rFonts w:ascii="Times New Roman" w:hAnsi="Times New Roman" w:cs="Times New Roman"/>
          <w:sz w:val="24"/>
          <w:szCs w:val="24"/>
        </w:rPr>
      </w:pPr>
      <w:proofErr w:type="gramStart"/>
      <w:r>
        <w:rPr>
          <w:rFonts w:ascii="Times New Roman" w:hAnsi="Times New Roman" w:cs="Times New Roman"/>
          <w:sz w:val="24"/>
          <w:szCs w:val="24"/>
        </w:rPr>
        <w:t>Tel : 0</w:t>
      </w:r>
      <w:proofErr w:type="gramEnd"/>
      <w:r>
        <w:rPr>
          <w:rFonts w:ascii="Times New Roman" w:hAnsi="Times New Roman" w:cs="Times New Roman"/>
          <w:sz w:val="24"/>
          <w:szCs w:val="24"/>
        </w:rPr>
        <w:t xml:space="preserve"> 246 313 25 20-22</w:t>
      </w:r>
    </w:p>
    <w:p w:rsidR="004E22E1" w:rsidRDefault="004E22E1" w:rsidP="004E22E1">
      <w:pPr>
        <w:jc w:val="both"/>
        <w:rPr>
          <w:b/>
          <w:sz w:val="24"/>
          <w:szCs w:val="24"/>
        </w:rPr>
      </w:pPr>
    </w:p>
    <w:p w:rsidR="004E22E1" w:rsidRPr="00FC1B88" w:rsidRDefault="004E22E1" w:rsidP="00FC1B88">
      <w:pPr>
        <w:ind w:right="-108"/>
        <w:jc w:val="both"/>
        <w:rPr>
          <w:rFonts w:ascii="Times New Roman" w:hAnsi="Times New Roman" w:cs="Times New Roman"/>
          <w:sz w:val="24"/>
          <w:szCs w:val="24"/>
        </w:rPr>
      </w:pPr>
    </w:p>
    <w:p w:rsidR="00DA2B9C" w:rsidRDefault="00DA2B9C"/>
    <w:sectPr w:rsidR="00DA2B9C" w:rsidSect="0086722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2BE"/>
    <w:multiLevelType w:val="hybridMultilevel"/>
    <w:tmpl w:val="542A2430"/>
    <w:lvl w:ilvl="0" w:tplc="CBC4B2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AA5E42"/>
    <w:multiLevelType w:val="hybridMultilevel"/>
    <w:tmpl w:val="C0203228"/>
    <w:lvl w:ilvl="0" w:tplc="857E914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6D0F"/>
    <w:rsid w:val="00016D0F"/>
    <w:rsid w:val="00250607"/>
    <w:rsid w:val="00262FBA"/>
    <w:rsid w:val="00305FDD"/>
    <w:rsid w:val="0038163F"/>
    <w:rsid w:val="003B5A8B"/>
    <w:rsid w:val="0048387A"/>
    <w:rsid w:val="004E22E1"/>
    <w:rsid w:val="0067498C"/>
    <w:rsid w:val="006D528A"/>
    <w:rsid w:val="008033B3"/>
    <w:rsid w:val="00830FAC"/>
    <w:rsid w:val="0086722D"/>
    <w:rsid w:val="008A1004"/>
    <w:rsid w:val="009E135C"/>
    <w:rsid w:val="00C51EE7"/>
    <w:rsid w:val="00CB77E6"/>
    <w:rsid w:val="00D05806"/>
    <w:rsid w:val="00D31297"/>
    <w:rsid w:val="00D622A0"/>
    <w:rsid w:val="00DA2B9C"/>
    <w:rsid w:val="00FC1B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E13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135C"/>
    <w:rPr>
      <w:b/>
      <w:bCs/>
    </w:rPr>
  </w:style>
  <w:style w:type="character" w:styleId="Kpr">
    <w:name w:val="Hyperlink"/>
    <w:basedOn w:val="VarsaylanParagrafYazTipi"/>
    <w:uiPriority w:val="99"/>
    <w:semiHidden/>
    <w:unhideWhenUsed/>
    <w:rsid w:val="009E135C"/>
    <w:rPr>
      <w:color w:val="0000FF"/>
      <w:u w:val="single"/>
    </w:rPr>
  </w:style>
  <w:style w:type="paragraph" w:styleId="ListeParagraf">
    <w:name w:val="List Paragraph"/>
    <w:basedOn w:val="Normal"/>
    <w:uiPriority w:val="34"/>
    <w:qFormat/>
    <w:rsid w:val="009E135C"/>
    <w:pPr>
      <w:ind w:left="720"/>
      <w:contextualSpacing/>
    </w:pPr>
  </w:style>
  <w:style w:type="paragraph" w:customStyle="1" w:styleId="3-NormalYaz">
    <w:name w:val="3-Normal Yazı"/>
    <w:link w:val="3-NormalYazChar"/>
    <w:rsid w:val="003B5A8B"/>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basedOn w:val="VarsaylanParagrafYazTipi"/>
    <w:link w:val="3-NormalYaz"/>
    <w:rsid w:val="003B5A8B"/>
    <w:rPr>
      <w:rFonts w:ascii="Times New Roman" w:eastAsia="Times New Roman" w:hAnsi="Times New Roman" w:cs="Times New Roman"/>
      <w:sz w:val="19"/>
      <w:szCs w:val="20"/>
    </w:rPr>
  </w:style>
  <w:style w:type="table" w:styleId="TabloKlavuzu">
    <w:name w:val="Table Grid"/>
    <w:basedOn w:val="NormalTablo"/>
    <w:uiPriority w:val="59"/>
    <w:rsid w:val="008A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7619655">
      <w:bodyDiv w:val="1"/>
      <w:marLeft w:val="0"/>
      <w:marRight w:val="0"/>
      <w:marTop w:val="0"/>
      <w:marBottom w:val="0"/>
      <w:divBdr>
        <w:top w:val="none" w:sz="0" w:space="0" w:color="auto"/>
        <w:left w:val="none" w:sz="0" w:space="0" w:color="auto"/>
        <w:bottom w:val="none" w:sz="0" w:space="0" w:color="auto"/>
        <w:right w:val="none" w:sz="0" w:space="0" w:color="auto"/>
      </w:divBdr>
    </w:div>
    <w:div w:id="558905316">
      <w:bodyDiv w:val="1"/>
      <w:marLeft w:val="0"/>
      <w:marRight w:val="0"/>
      <w:marTop w:val="0"/>
      <w:marBottom w:val="0"/>
      <w:divBdr>
        <w:top w:val="none" w:sz="0" w:space="0" w:color="auto"/>
        <w:left w:val="none" w:sz="0" w:space="0" w:color="auto"/>
        <w:bottom w:val="none" w:sz="0" w:space="0" w:color="auto"/>
        <w:right w:val="none" w:sz="0" w:space="0" w:color="auto"/>
      </w:divBdr>
    </w:div>
    <w:div w:id="602156050">
      <w:bodyDiv w:val="1"/>
      <w:marLeft w:val="0"/>
      <w:marRight w:val="0"/>
      <w:marTop w:val="0"/>
      <w:marBottom w:val="0"/>
      <w:divBdr>
        <w:top w:val="none" w:sz="0" w:space="0" w:color="auto"/>
        <w:left w:val="none" w:sz="0" w:space="0" w:color="auto"/>
        <w:bottom w:val="none" w:sz="0" w:space="0" w:color="auto"/>
        <w:right w:val="none" w:sz="0" w:space="0" w:color="auto"/>
      </w:divBdr>
    </w:div>
    <w:div w:id="19047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2014-01-16T08:40:00Z</dcterms:created>
  <dcterms:modified xsi:type="dcterms:W3CDTF">2014-01-16T08:40:00Z</dcterms:modified>
</cp:coreProperties>
</file>