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9FD11" w14:textId="77777777" w:rsidR="001C29DF" w:rsidRPr="00C748CA" w:rsidRDefault="001C29DF" w:rsidP="001C29DF">
      <w:pPr>
        <w:keepNext/>
        <w:keepLines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748C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SDÜ EĞİRDİR SAĞLIK HİZMETLERİ MESLEK YÜKSEKOKULU</w:t>
      </w:r>
    </w:p>
    <w:p w14:paraId="4C5E3A8F" w14:textId="77777777" w:rsidR="001C29DF" w:rsidRPr="00C748CA" w:rsidRDefault="001C29DF" w:rsidP="001C29DF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tr-TR"/>
        </w:rPr>
      </w:pPr>
      <w:r w:rsidRPr="00C748CA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tr-TR"/>
        </w:rPr>
        <w:t>YÜKSEKOKUL YÖNETİM KURUL KARARLARI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021"/>
        <w:gridCol w:w="3013"/>
      </w:tblGrid>
      <w:tr w:rsidR="001C29DF" w:rsidRPr="00C748CA" w14:paraId="1C17C13B" w14:textId="77777777" w:rsidTr="00D92FDE">
        <w:trPr>
          <w:trHeight w:val="2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616E" w14:textId="77777777" w:rsidR="001C29DF" w:rsidRPr="00C748CA" w:rsidRDefault="001C29DF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C748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Toplantı Tarihi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9EDD" w14:textId="77777777" w:rsidR="001C29DF" w:rsidRPr="00C748CA" w:rsidRDefault="001C29DF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C748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Toplantı Sayısı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5F53" w14:textId="77777777" w:rsidR="001C29DF" w:rsidRPr="00C748CA" w:rsidRDefault="001C29DF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C748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Karar Sayısı</w:t>
            </w:r>
          </w:p>
        </w:tc>
      </w:tr>
      <w:tr w:rsidR="001C29DF" w:rsidRPr="00C748CA" w14:paraId="0158C723" w14:textId="77777777" w:rsidTr="00D92FDE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B240" w14:textId="77777777" w:rsidR="001C29DF" w:rsidRPr="00C748CA" w:rsidRDefault="001C29DF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C748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08/04/2021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1578" w14:textId="77777777" w:rsidR="001C29DF" w:rsidRPr="00C748CA" w:rsidRDefault="001C29DF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C748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360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7CBA" w14:textId="77777777" w:rsidR="001C29DF" w:rsidRPr="00C748CA" w:rsidRDefault="001C29DF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C748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04</w:t>
            </w:r>
          </w:p>
        </w:tc>
      </w:tr>
    </w:tbl>
    <w:p w14:paraId="45DC3BD8" w14:textId="77777777" w:rsidR="001C29DF" w:rsidRPr="00C748CA" w:rsidRDefault="001C29DF" w:rsidP="001C29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2CF094CE" w14:textId="77777777" w:rsidR="001C29DF" w:rsidRPr="00C748CA" w:rsidRDefault="001C29DF" w:rsidP="001C29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C748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TOPLANTIYA KATILANLAR </w:t>
      </w:r>
    </w:p>
    <w:p w14:paraId="24895EC8" w14:textId="77777777" w:rsidR="001C29DF" w:rsidRPr="00C748CA" w:rsidRDefault="001C29DF" w:rsidP="001C2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>Dr.Öğr</w:t>
      </w:r>
      <w:proofErr w:type="spellEnd"/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Üyesi Selim SÖZER (Yüksekokul Müdürü Başkan) </w:t>
      </w:r>
    </w:p>
    <w:p w14:paraId="4505DE1F" w14:textId="77777777" w:rsidR="001C29DF" w:rsidRPr="00C748CA" w:rsidRDefault="001C29DF" w:rsidP="001C29D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proofErr w:type="spellStart"/>
      <w:proofErr w:type="gramStart"/>
      <w:r w:rsidRPr="00C748CA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Öğr.Gör.Zehra</w:t>
      </w:r>
      <w:proofErr w:type="spellEnd"/>
      <w:proofErr w:type="gramEnd"/>
      <w:r w:rsidRPr="00C748CA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KÜÇÜKCOŞKUN (Müdür Yardımcısı) </w:t>
      </w:r>
    </w:p>
    <w:p w14:paraId="0D271F56" w14:textId="77777777" w:rsidR="001C29DF" w:rsidRPr="00C748CA" w:rsidRDefault="001C29DF" w:rsidP="001C29D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C748CA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</w:t>
      </w:r>
      <w:proofErr w:type="spellStart"/>
      <w:proofErr w:type="gramStart"/>
      <w:r w:rsidRPr="00C748CA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Öğr.Gör.Demir</w:t>
      </w:r>
      <w:proofErr w:type="spellEnd"/>
      <w:proofErr w:type="gramEnd"/>
      <w:r w:rsidRPr="00C748CA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DİNİPAK (Müdür Yardımcısı)</w:t>
      </w:r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748CA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</w:t>
      </w:r>
    </w:p>
    <w:p w14:paraId="30E9D214" w14:textId="77777777" w:rsidR="001C29DF" w:rsidRPr="00C748CA" w:rsidRDefault="001C29DF" w:rsidP="001C29D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proofErr w:type="spellStart"/>
      <w:r w:rsidRPr="00C748CA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Öğr</w:t>
      </w:r>
      <w:proofErr w:type="spellEnd"/>
      <w:r w:rsidRPr="00C748CA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. Gör. Faruk Yaşar GÜRDAL (Üye)</w:t>
      </w:r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748CA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br/>
      </w:r>
      <w:proofErr w:type="spellStart"/>
      <w:r w:rsidRPr="00C748CA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Öğr</w:t>
      </w:r>
      <w:proofErr w:type="spellEnd"/>
      <w:r w:rsidRPr="00C748CA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. Gör. Mehtap ÖZTÜRK (Üye-)</w:t>
      </w:r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152D06B6" w14:textId="77777777" w:rsidR="001C29DF" w:rsidRPr="00C748CA" w:rsidRDefault="001C29DF" w:rsidP="001C29D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>. Gör. Muhammet BENER(Üye)</w:t>
      </w:r>
    </w:p>
    <w:p w14:paraId="7B67257E" w14:textId="77777777" w:rsidR="001C29DF" w:rsidRPr="00C748CA" w:rsidRDefault="001C29DF" w:rsidP="001C2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748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14:paraId="3F164783" w14:textId="77777777" w:rsidR="001C29DF" w:rsidRPr="00C748CA" w:rsidRDefault="001C29DF" w:rsidP="001C2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748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KARARLAR</w:t>
      </w:r>
    </w:p>
    <w:p w14:paraId="54C2466E" w14:textId="77777777" w:rsidR="001C29DF" w:rsidRPr="00C748CA" w:rsidRDefault="001C29DF" w:rsidP="001C29DF">
      <w:pPr>
        <w:tabs>
          <w:tab w:val="left" w:pos="1134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748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1- 2020-2021 Eğitim-Öğretim Yılı Bahar Dönemi Ara Sınav Programları</w:t>
      </w:r>
    </w:p>
    <w:p w14:paraId="3C14BBA2" w14:textId="77777777" w:rsidR="001C29DF" w:rsidRPr="00C748CA" w:rsidRDefault="001C29DF" w:rsidP="001C29D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Terapi ve Rehabilitasyon Bölümünün 05/04/2021 tarih ve E. 43645 sayılı, Sosyal Hizmet ve Danışmanlık Bölümünün 02/04/2021 tarih ve E.43047 sayılı, Sağlık Bakım Hizmetleri Bölümünün 02/04/2021 tarih ve E.43041 sayılı, Tıbbi Hizmetler ve Teknikler Bölümünün 02/04/2021 tarih ve E. 43007 sayılı, Çocuk Bakımı ve Gençlik Hizmetleri Bölümünün 29/03/2021 tarih ve E.40776 sayılı, Türk Dili Bölüm Başkanlığının 30.03.2021 tarih ve E.41415 sayılı ve Atatürk İlkeleri ve İnkılap Tarihi Bölüm Başkanlığının 26.03.2021 tarih ve E.40288 sayılı  yazıları görüşüldü.</w:t>
      </w:r>
    </w:p>
    <w:p w14:paraId="026F0F3F" w14:textId="77777777" w:rsidR="001C29DF" w:rsidRPr="00C748CA" w:rsidRDefault="001C29DF" w:rsidP="001C2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Süleyman Demirel Üniversitesi </w:t>
      </w:r>
      <w:proofErr w:type="spellStart"/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>Önlisans</w:t>
      </w:r>
      <w:proofErr w:type="spellEnd"/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Lisans Eğitim-Öğretim ve Sınav Yönetmeliğinin </w:t>
      </w:r>
      <w:proofErr w:type="gramStart"/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 </w:t>
      </w:r>
      <w:proofErr w:type="spellStart"/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>nci</w:t>
      </w:r>
      <w:proofErr w:type="spellEnd"/>
      <w:proofErr w:type="gramEnd"/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Maddesinin 01 inci fıkrası uyarınca Meslek Yüksekokulumuz programlarında okutulan derslerin 2020-2021 Eğitim-Öğretim yılı Bahar Yarıyılı Ara Sınavlarının bölümlerden geldiği şekliyle yapılmasının uygunluğuna oy birliği ile karar verilmiştir.</w:t>
      </w:r>
    </w:p>
    <w:p w14:paraId="79A88BBF" w14:textId="77777777" w:rsidR="001C29DF" w:rsidRPr="00C748CA" w:rsidRDefault="001C29DF" w:rsidP="001C29D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</w:p>
    <w:p w14:paraId="52061081" w14:textId="77777777" w:rsidR="001C29DF" w:rsidRPr="00C748CA" w:rsidRDefault="001C29DF" w:rsidP="001C29D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Hlk68773121"/>
      <w:r w:rsidRPr="00C748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2- </w:t>
      </w:r>
      <w:proofErr w:type="spellStart"/>
      <w:r w:rsidRPr="00C748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</w:t>
      </w:r>
      <w:proofErr w:type="spellEnd"/>
      <w:r w:rsidRPr="00C748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. Gör. </w:t>
      </w:r>
      <w:proofErr w:type="spellStart"/>
      <w:r w:rsidRPr="00C748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xxxxxx</w:t>
      </w:r>
      <w:r w:rsidRPr="00C748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</w:t>
      </w:r>
      <w:proofErr w:type="spellEnd"/>
      <w:r w:rsidRPr="00C748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C748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xxx</w:t>
      </w:r>
      <w:r w:rsidRPr="00C748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R’in</w:t>
      </w:r>
      <w:proofErr w:type="spellEnd"/>
      <w:r w:rsidRPr="00C748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Görev Süresi Uzatımı.</w:t>
      </w:r>
    </w:p>
    <w:p w14:paraId="4DB407D8" w14:textId="77777777" w:rsidR="001C29DF" w:rsidRPr="00C748CA" w:rsidRDefault="001C29DF" w:rsidP="001C29D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E9DC14A" w14:textId="77777777" w:rsidR="001C29DF" w:rsidRPr="00C748CA" w:rsidRDefault="001C29DF" w:rsidP="001C29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1" w:name="_Hlk68773233"/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Yüksekokulumuz Sosyal Hizmetler ve Danışmanlık Bölüm Başkanlığının 01/04/2021 tarih ve E.42646 sayılı yazısı görüşüldü</w:t>
      </w:r>
    </w:p>
    <w:p w14:paraId="550CE2DD" w14:textId="77777777" w:rsidR="001C29DF" w:rsidRPr="00C748CA" w:rsidRDefault="001C29DF" w:rsidP="001C29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 Yüksekokulumuz</w:t>
      </w:r>
      <w:proofErr w:type="gramEnd"/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Sosyal Hizmetler ve Danışmanlık Bölümü Sosyal Hizmetler  Programında öğretim görevlisi olarak görev yapmakta olan </w:t>
      </w:r>
      <w:proofErr w:type="spellStart"/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Gör. </w:t>
      </w:r>
      <w:proofErr w:type="spellStart"/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xxxxxxx</w:t>
      </w:r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proofErr w:type="spellEnd"/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xxx</w:t>
      </w:r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>R’in</w:t>
      </w:r>
      <w:proofErr w:type="spellEnd"/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görev süresinin, 2547 Sayılı Yükseköğretim Kanunu’nun 31 inci Maddesi gereğince 09/05/2021 tarihinden itibaren 02 (İki) yıl süreyle uzatılmasının uygunluğuna ve Rektörlük Makamının arzına oy birliği ile karar verilmiştir.</w:t>
      </w:r>
    </w:p>
    <w:bookmarkEnd w:id="0"/>
    <w:bookmarkEnd w:id="1"/>
    <w:p w14:paraId="6A680DDA" w14:textId="77777777" w:rsidR="001C29DF" w:rsidRPr="00C748CA" w:rsidRDefault="001C29DF" w:rsidP="001C29D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4E84EAB" w14:textId="77777777" w:rsidR="001C29DF" w:rsidRPr="00C748CA" w:rsidRDefault="001C29DF" w:rsidP="001C2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748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3-Kayıt Silinecek Öğrencilerin Durumu </w:t>
      </w:r>
    </w:p>
    <w:p w14:paraId="4F1ED43B" w14:textId="77777777" w:rsidR="001C29DF" w:rsidRPr="00C748CA" w:rsidRDefault="001C29DF" w:rsidP="001C29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Akdeniz Üniversitesi Sağlık Hizmetleri Meslek Yüksekokulunun 10/03/2021 tarih ve E.46583 sayılı yazısı görüşüldü.</w:t>
      </w:r>
    </w:p>
    <w:p w14:paraId="6CC0BAAA" w14:textId="77777777" w:rsidR="001C29DF" w:rsidRPr="00C748CA" w:rsidRDefault="001C29DF" w:rsidP="001C29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Meslek Yüksekokulumuz öğrencisi iken 2020-2021 Eğitim-Öğretim Yılı Bahar döneminde Akdeniz Üniversitesi Sağlık Hizmetleri Meslek </w:t>
      </w:r>
      <w:proofErr w:type="gramStart"/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>Yüksekokuluna  yatay</w:t>
      </w:r>
      <w:proofErr w:type="gramEnd"/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geçiş yapan  ismi ve bilgileri aşağıdaki tabloda yer alan öğrencinin kaydının silinmesine, dosyasının geçiş yaptığı okula gönderilmesine ve öğrenci bilgi sistemine işlenmesinin uygunluğuna oy birliği ile karar verilmiştir.</w:t>
      </w:r>
    </w:p>
    <w:p w14:paraId="38C606CA" w14:textId="77777777" w:rsidR="001C29DF" w:rsidRPr="00C748CA" w:rsidRDefault="001C29DF" w:rsidP="001C2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1BDC44F" w14:textId="77777777" w:rsidR="001C29DF" w:rsidRPr="00C748CA" w:rsidRDefault="001C29DF" w:rsidP="001C2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>Yatay Geçiş Yaptığı İçin Kaydı Silinen Öğrenci Listesi</w:t>
      </w:r>
    </w:p>
    <w:tbl>
      <w:tblPr>
        <w:tblStyle w:val="TabloKlavuzu50"/>
        <w:tblW w:w="9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47"/>
        <w:gridCol w:w="1701"/>
        <w:gridCol w:w="1276"/>
        <w:gridCol w:w="1276"/>
        <w:gridCol w:w="1417"/>
        <w:gridCol w:w="1560"/>
        <w:gridCol w:w="992"/>
      </w:tblGrid>
      <w:tr w:rsidR="001C29DF" w:rsidRPr="001C29DF" w14:paraId="22948DB2" w14:textId="77777777" w:rsidTr="00D92FDE">
        <w:trPr>
          <w:trHeight w:val="261"/>
        </w:trPr>
        <w:tc>
          <w:tcPr>
            <w:tcW w:w="1447" w:type="dxa"/>
            <w:vMerge w:val="restart"/>
          </w:tcPr>
          <w:p w14:paraId="0820DD33" w14:textId="77777777" w:rsidR="001C29DF" w:rsidRPr="001C29DF" w:rsidRDefault="001C29DF" w:rsidP="00D92FDE">
            <w:pPr>
              <w:jc w:val="both"/>
              <w:rPr>
                <w:sz w:val="18"/>
                <w:szCs w:val="18"/>
              </w:rPr>
            </w:pPr>
            <w:proofErr w:type="spellStart"/>
            <w:r w:rsidRPr="001C29DF">
              <w:rPr>
                <w:sz w:val="18"/>
                <w:szCs w:val="18"/>
              </w:rPr>
              <w:lastRenderedPageBreak/>
              <w:t>Öğ</w:t>
            </w:r>
            <w:proofErr w:type="spellEnd"/>
            <w:r w:rsidRPr="001C29DF">
              <w:rPr>
                <w:sz w:val="18"/>
                <w:szCs w:val="18"/>
              </w:rPr>
              <w:t>. No.</w:t>
            </w:r>
          </w:p>
        </w:tc>
        <w:tc>
          <w:tcPr>
            <w:tcW w:w="1701" w:type="dxa"/>
            <w:vMerge w:val="restart"/>
          </w:tcPr>
          <w:p w14:paraId="6FD2A07A" w14:textId="77777777" w:rsidR="001C29DF" w:rsidRPr="001C29DF" w:rsidRDefault="001C29DF" w:rsidP="00D92FDE">
            <w:pPr>
              <w:jc w:val="both"/>
              <w:rPr>
                <w:sz w:val="18"/>
                <w:szCs w:val="18"/>
              </w:rPr>
            </w:pPr>
            <w:r w:rsidRPr="001C29DF">
              <w:rPr>
                <w:sz w:val="18"/>
                <w:szCs w:val="18"/>
              </w:rPr>
              <w:t>Adı Soyadı</w:t>
            </w:r>
          </w:p>
        </w:tc>
        <w:tc>
          <w:tcPr>
            <w:tcW w:w="1276" w:type="dxa"/>
            <w:vMerge w:val="restart"/>
          </w:tcPr>
          <w:p w14:paraId="7E6355F0" w14:textId="77777777" w:rsidR="001C29DF" w:rsidRPr="001C29DF" w:rsidRDefault="001C29DF" w:rsidP="00D92FDE">
            <w:pPr>
              <w:jc w:val="both"/>
              <w:rPr>
                <w:sz w:val="18"/>
                <w:szCs w:val="18"/>
              </w:rPr>
            </w:pPr>
            <w:r w:rsidRPr="001C29DF">
              <w:rPr>
                <w:sz w:val="18"/>
                <w:szCs w:val="18"/>
              </w:rPr>
              <w:t>Bölümü /Programı</w:t>
            </w:r>
          </w:p>
        </w:tc>
        <w:tc>
          <w:tcPr>
            <w:tcW w:w="1276" w:type="dxa"/>
            <w:vMerge w:val="restart"/>
          </w:tcPr>
          <w:p w14:paraId="43E4CE80" w14:textId="77777777" w:rsidR="001C29DF" w:rsidRPr="001C29DF" w:rsidRDefault="001C29DF" w:rsidP="00D92FDE">
            <w:pPr>
              <w:jc w:val="both"/>
              <w:rPr>
                <w:sz w:val="18"/>
                <w:szCs w:val="18"/>
              </w:rPr>
            </w:pPr>
            <w:r w:rsidRPr="001C29DF">
              <w:rPr>
                <w:sz w:val="18"/>
                <w:szCs w:val="18"/>
              </w:rPr>
              <w:t>Geçiş yolu</w:t>
            </w:r>
          </w:p>
        </w:tc>
        <w:tc>
          <w:tcPr>
            <w:tcW w:w="3969" w:type="dxa"/>
            <w:gridSpan w:val="3"/>
          </w:tcPr>
          <w:p w14:paraId="3BD2D726" w14:textId="77777777" w:rsidR="001C29DF" w:rsidRPr="001C29DF" w:rsidRDefault="001C29DF" w:rsidP="00D92FDE">
            <w:pPr>
              <w:jc w:val="both"/>
              <w:rPr>
                <w:sz w:val="18"/>
                <w:szCs w:val="18"/>
              </w:rPr>
            </w:pPr>
            <w:r w:rsidRPr="001C29DF">
              <w:rPr>
                <w:sz w:val="18"/>
                <w:szCs w:val="18"/>
              </w:rPr>
              <w:t>Geçiş Yaptığı Üniversite</w:t>
            </w:r>
          </w:p>
        </w:tc>
      </w:tr>
      <w:tr w:rsidR="001C29DF" w:rsidRPr="001C29DF" w14:paraId="5A417FEC" w14:textId="77777777" w:rsidTr="00D92FDE">
        <w:trPr>
          <w:trHeight w:val="139"/>
        </w:trPr>
        <w:tc>
          <w:tcPr>
            <w:tcW w:w="1447" w:type="dxa"/>
            <w:vMerge/>
          </w:tcPr>
          <w:p w14:paraId="380CA4AE" w14:textId="77777777" w:rsidR="001C29DF" w:rsidRPr="001C29DF" w:rsidRDefault="001C29DF" w:rsidP="00D92F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81677D5" w14:textId="77777777" w:rsidR="001C29DF" w:rsidRPr="001C29DF" w:rsidRDefault="001C29DF" w:rsidP="00D92F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100114D" w14:textId="77777777" w:rsidR="001C29DF" w:rsidRPr="001C29DF" w:rsidRDefault="001C29DF" w:rsidP="00D92F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AA49888" w14:textId="77777777" w:rsidR="001C29DF" w:rsidRPr="001C29DF" w:rsidRDefault="001C29DF" w:rsidP="00D92F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77C6011" w14:textId="77777777" w:rsidR="001C29DF" w:rsidRPr="001C29DF" w:rsidRDefault="001C29DF" w:rsidP="00D92FDE">
            <w:pPr>
              <w:jc w:val="both"/>
              <w:rPr>
                <w:sz w:val="18"/>
                <w:szCs w:val="18"/>
              </w:rPr>
            </w:pPr>
            <w:r w:rsidRPr="001C29DF">
              <w:rPr>
                <w:sz w:val="18"/>
                <w:szCs w:val="18"/>
              </w:rPr>
              <w:t>Adı</w:t>
            </w:r>
          </w:p>
        </w:tc>
        <w:tc>
          <w:tcPr>
            <w:tcW w:w="1560" w:type="dxa"/>
          </w:tcPr>
          <w:p w14:paraId="497E2AAA" w14:textId="77777777" w:rsidR="001C29DF" w:rsidRPr="001C29DF" w:rsidRDefault="001C29DF" w:rsidP="00D92FDE">
            <w:pPr>
              <w:jc w:val="both"/>
              <w:rPr>
                <w:sz w:val="18"/>
                <w:szCs w:val="18"/>
              </w:rPr>
            </w:pPr>
            <w:r w:rsidRPr="001C29DF">
              <w:rPr>
                <w:sz w:val="18"/>
                <w:szCs w:val="18"/>
              </w:rPr>
              <w:t>Okul Adı</w:t>
            </w:r>
          </w:p>
        </w:tc>
        <w:tc>
          <w:tcPr>
            <w:tcW w:w="992" w:type="dxa"/>
          </w:tcPr>
          <w:p w14:paraId="0837A855" w14:textId="77777777" w:rsidR="001C29DF" w:rsidRPr="001C29DF" w:rsidRDefault="001C29DF" w:rsidP="00D92FDE">
            <w:pPr>
              <w:jc w:val="both"/>
              <w:rPr>
                <w:sz w:val="18"/>
                <w:szCs w:val="18"/>
              </w:rPr>
            </w:pPr>
            <w:r w:rsidRPr="001C29DF">
              <w:rPr>
                <w:sz w:val="18"/>
                <w:szCs w:val="18"/>
              </w:rPr>
              <w:t>Bölümü/</w:t>
            </w:r>
            <w:proofErr w:type="spellStart"/>
            <w:r w:rsidRPr="001C29DF">
              <w:rPr>
                <w:sz w:val="18"/>
                <w:szCs w:val="18"/>
              </w:rPr>
              <w:t>Prog</w:t>
            </w:r>
            <w:proofErr w:type="spellEnd"/>
          </w:p>
        </w:tc>
      </w:tr>
      <w:tr w:rsidR="001C29DF" w:rsidRPr="001C29DF" w14:paraId="54F9A0E8" w14:textId="77777777" w:rsidTr="00D92FDE">
        <w:trPr>
          <w:trHeight w:val="536"/>
        </w:trPr>
        <w:tc>
          <w:tcPr>
            <w:tcW w:w="1447" w:type="dxa"/>
            <w:vAlign w:val="center"/>
          </w:tcPr>
          <w:p w14:paraId="1DD55FAC" w14:textId="77777777" w:rsidR="001C29DF" w:rsidRPr="001C29DF" w:rsidRDefault="001C29DF" w:rsidP="00D92FDE">
            <w:pPr>
              <w:rPr>
                <w:sz w:val="18"/>
                <w:szCs w:val="18"/>
              </w:rPr>
            </w:pPr>
            <w:r w:rsidRPr="001C29DF">
              <w:rPr>
                <w:color w:val="000000"/>
                <w:sz w:val="18"/>
                <w:szCs w:val="18"/>
                <w:shd w:val="clear" w:color="auto" w:fill="FFFFFF"/>
              </w:rPr>
              <w:t>20xxxxxx45</w:t>
            </w:r>
          </w:p>
        </w:tc>
        <w:tc>
          <w:tcPr>
            <w:tcW w:w="1701" w:type="dxa"/>
            <w:vAlign w:val="center"/>
          </w:tcPr>
          <w:p w14:paraId="1DC40248" w14:textId="77777777" w:rsidR="001C29DF" w:rsidRPr="001C29DF" w:rsidRDefault="001C29DF" w:rsidP="00D92FDE">
            <w:pPr>
              <w:rPr>
                <w:sz w:val="18"/>
                <w:szCs w:val="18"/>
              </w:rPr>
            </w:pPr>
            <w:proofErr w:type="spellStart"/>
            <w:r w:rsidRPr="001C29DF">
              <w:rPr>
                <w:sz w:val="18"/>
                <w:szCs w:val="18"/>
              </w:rPr>
              <w:t>Hxxxxe</w:t>
            </w:r>
            <w:proofErr w:type="spellEnd"/>
            <w:r w:rsidRPr="001C29DF">
              <w:rPr>
                <w:sz w:val="18"/>
                <w:szCs w:val="18"/>
              </w:rPr>
              <w:t xml:space="preserve"> </w:t>
            </w:r>
            <w:proofErr w:type="spellStart"/>
            <w:r w:rsidRPr="001C29DF">
              <w:rPr>
                <w:sz w:val="18"/>
                <w:szCs w:val="18"/>
              </w:rPr>
              <w:t>SxxxxK</w:t>
            </w:r>
            <w:proofErr w:type="spellEnd"/>
          </w:p>
        </w:tc>
        <w:tc>
          <w:tcPr>
            <w:tcW w:w="1276" w:type="dxa"/>
          </w:tcPr>
          <w:p w14:paraId="039851DC" w14:textId="77777777" w:rsidR="001C29DF" w:rsidRPr="001C29DF" w:rsidRDefault="001C29DF" w:rsidP="00D92FDE">
            <w:pPr>
              <w:rPr>
                <w:sz w:val="18"/>
                <w:szCs w:val="18"/>
              </w:rPr>
            </w:pPr>
            <w:r w:rsidRPr="001C29DF">
              <w:rPr>
                <w:sz w:val="18"/>
                <w:szCs w:val="18"/>
              </w:rPr>
              <w:t>Tıbbi Hizmetler ve Teknikler Bölümü/ İlk ve Acil Yardım İkinci Öğretim Programı</w:t>
            </w:r>
          </w:p>
        </w:tc>
        <w:tc>
          <w:tcPr>
            <w:tcW w:w="1276" w:type="dxa"/>
            <w:vAlign w:val="center"/>
          </w:tcPr>
          <w:p w14:paraId="05892643" w14:textId="77777777" w:rsidR="001C29DF" w:rsidRPr="001C29DF" w:rsidRDefault="001C29DF" w:rsidP="00D92FDE">
            <w:pPr>
              <w:rPr>
                <w:sz w:val="18"/>
                <w:szCs w:val="18"/>
              </w:rPr>
            </w:pPr>
            <w:r w:rsidRPr="001C29DF">
              <w:rPr>
                <w:sz w:val="18"/>
                <w:szCs w:val="18"/>
              </w:rPr>
              <w:t>Kurumlar</w:t>
            </w:r>
          </w:p>
          <w:p w14:paraId="798D9ACC" w14:textId="77777777" w:rsidR="001C29DF" w:rsidRPr="001C29DF" w:rsidRDefault="001C29DF" w:rsidP="00D92FDE">
            <w:pPr>
              <w:rPr>
                <w:sz w:val="18"/>
                <w:szCs w:val="18"/>
              </w:rPr>
            </w:pPr>
            <w:r w:rsidRPr="001C29DF">
              <w:rPr>
                <w:sz w:val="18"/>
                <w:szCs w:val="18"/>
              </w:rPr>
              <w:t>Arası Yatay Geçiş (GNO)</w:t>
            </w:r>
          </w:p>
        </w:tc>
        <w:tc>
          <w:tcPr>
            <w:tcW w:w="1417" w:type="dxa"/>
            <w:vAlign w:val="center"/>
          </w:tcPr>
          <w:p w14:paraId="487888BB" w14:textId="77777777" w:rsidR="001C29DF" w:rsidRPr="001C29DF" w:rsidRDefault="001C29DF" w:rsidP="00D92FDE">
            <w:pPr>
              <w:rPr>
                <w:sz w:val="18"/>
                <w:szCs w:val="18"/>
              </w:rPr>
            </w:pPr>
            <w:r w:rsidRPr="001C29DF">
              <w:rPr>
                <w:sz w:val="18"/>
                <w:szCs w:val="18"/>
              </w:rPr>
              <w:t xml:space="preserve">Akdeniz Üniversitesi </w:t>
            </w:r>
          </w:p>
        </w:tc>
        <w:tc>
          <w:tcPr>
            <w:tcW w:w="1560" w:type="dxa"/>
            <w:vAlign w:val="center"/>
          </w:tcPr>
          <w:p w14:paraId="53225B41" w14:textId="77777777" w:rsidR="001C29DF" w:rsidRPr="001C29DF" w:rsidRDefault="001C29DF" w:rsidP="00D92FDE">
            <w:pPr>
              <w:rPr>
                <w:sz w:val="18"/>
                <w:szCs w:val="18"/>
              </w:rPr>
            </w:pPr>
            <w:r w:rsidRPr="001C29DF">
              <w:rPr>
                <w:sz w:val="18"/>
                <w:szCs w:val="18"/>
              </w:rPr>
              <w:t>Sağlık Hizmetleri Meslek Yüksekokulu</w:t>
            </w:r>
          </w:p>
        </w:tc>
        <w:tc>
          <w:tcPr>
            <w:tcW w:w="992" w:type="dxa"/>
            <w:vAlign w:val="center"/>
          </w:tcPr>
          <w:p w14:paraId="6813A6FA" w14:textId="77777777" w:rsidR="001C29DF" w:rsidRPr="001C29DF" w:rsidRDefault="001C29DF" w:rsidP="00D92FDE">
            <w:pPr>
              <w:rPr>
                <w:sz w:val="18"/>
                <w:szCs w:val="18"/>
              </w:rPr>
            </w:pPr>
            <w:r w:rsidRPr="001C29DF">
              <w:rPr>
                <w:sz w:val="18"/>
                <w:szCs w:val="18"/>
              </w:rPr>
              <w:t>İlk ve Acil Yardım</w:t>
            </w:r>
          </w:p>
        </w:tc>
      </w:tr>
    </w:tbl>
    <w:p w14:paraId="079EC731" w14:textId="77777777" w:rsidR="001C29DF" w:rsidRPr="00C748CA" w:rsidRDefault="001C29DF" w:rsidP="001C29D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14C4D48" w14:textId="77777777" w:rsidR="001C29DF" w:rsidRPr="00C748CA" w:rsidRDefault="001C29DF" w:rsidP="001C29D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73DC2FD" w14:textId="77777777" w:rsidR="001C29DF" w:rsidRPr="00C748CA" w:rsidRDefault="001C29DF" w:rsidP="001C29D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748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4- Öğrenci </w:t>
      </w:r>
      <w:proofErr w:type="spellStart"/>
      <w:r w:rsidRPr="00C748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xxx</w:t>
      </w:r>
      <w:r w:rsidRPr="00C748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</w:t>
      </w:r>
      <w:proofErr w:type="spellEnd"/>
      <w:r w:rsidRPr="00C748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C748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xxxxxx</w:t>
      </w:r>
      <w:r w:rsidRPr="00C748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Z</w:t>
      </w:r>
      <w:proofErr w:type="spellEnd"/>
      <w:r w:rsidRPr="00C748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Mazeretli Ders Kaydı Talebi</w:t>
      </w:r>
    </w:p>
    <w:p w14:paraId="376E12E4" w14:textId="77777777" w:rsidR="001C29DF" w:rsidRPr="00C748CA" w:rsidRDefault="001C29DF" w:rsidP="001C29D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4D78A66" w14:textId="77777777" w:rsidR="001C29DF" w:rsidRPr="00C748CA" w:rsidRDefault="001C29DF" w:rsidP="001C29D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748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Tıbbi Hizmetler ve Teknikler Bölümü İlk ve Acil Yardım Programı öğrencilerinden </w:t>
      </w:r>
      <w:proofErr w:type="gramStart"/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2015704023  </w:t>
      </w:r>
      <w:proofErr w:type="spellStart"/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proofErr w:type="gramEnd"/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spellStart"/>
      <w:r w:rsidRPr="00C748C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xxx</w:t>
      </w:r>
      <w:r w:rsidRPr="00C748C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</w:t>
      </w:r>
      <w:proofErr w:type="spellEnd"/>
      <w:r w:rsidRPr="00C748C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C748C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xxxxx</w:t>
      </w:r>
      <w:r w:rsidRPr="00C748C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Z’ün</w:t>
      </w:r>
      <w:proofErr w:type="spellEnd"/>
      <w:r w:rsidRPr="00C748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>01.04.2021 tarih, E.43652 sayılı dilekçesi görüşüldü.</w:t>
      </w:r>
    </w:p>
    <w:p w14:paraId="2BE52F2B" w14:textId="77777777" w:rsidR="001C29DF" w:rsidRPr="00C748CA" w:rsidRDefault="001C29DF" w:rsidP="001C29D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24F3C5F" w14:textId="77777777" w:rsidR="001C29DF" w:rsidRPr="00C748CA" w:rsidRDefault="001C29DF" w:rsidP="001C29DF">
      <w:p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2020-2021 Eğitim-Öğretim Yılı Bahar Döneminde Mazeretli ders kaydı için başvuru yapan öğrencinin mazeretli ders kayıtlanma talebinin Süleyman Demirel Üniversitesi </w:t>
      </w:r>
      <w:proofErr w:type="spellStart"/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>Önlisans</w:t>
      </w:r>
      <w:proofErr w:type="spellEnd"/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Lisans Eğitim-Öğretim ve Sınav Yönetmeliğinin 9 uncu maddesi gereğince kabulünün uygunluğuna ve İAY-108 Farmakoloji dersinin üzerine atanmasına oy birliği ile karar verilmiştir.</w:t>
      </w:r>
    </w:p>
    <w:p w14:paraId="04CBC163" w14:textId="77777777" w:rsidR="001C29DF" w:rsidRPr="00C748CA" w:rsidRDefault="001C29DF" w:rsidP="001C29DF">
      <w:p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7C6A146" w14:textId="77777777" w:rsidR="001C29DF" w:rsidRPr="00C748CA" w:rsidRDefault="001C29DF" w:rsidP="001C29D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A25B7A6" w14:textId="77777777" w:rsidR="001C29DF" w:rsidRPr="00C748CA" w:rsidRDefault="001C29DF" w:rsidP="001C29D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Dr. </w:t>
      </w:r>
      <w:proofErr w:type="spellStart"/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>. Üyesi Selim SÖZER</w:t>
      </w:r>
    </w:p>
    <w:p w14:paraId="54031E24" w14:textId="77777777" w:rsidR="001C29DF" w:rsidRPr="00C748CA" w:rsidRDefault="001C29DF" w:rsidP="001C29DF">
      <w:pPr>
        <w:tabs>
          <w:tab w:val="left" w:pos="2655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</w:t>
      </w:r>
    </w:p>
    <w:p w14:paraId="16A825D2" w14:textId="77777777" w:rsidR="001C29DF" w:rsidRPr="00C748CA" w:rsidRDefault="001C29DF" w:rsidP="001C29DF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BBF9B7E" w14:textId="77777777" w:rsidR="001C29DF" w:rsidRPr="00C748CA" w:rsidRDefault="001C29DF" w:rsidP="001C29DF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0BCFF14" w14:textId="77777777" w:rsidR="001C29DF" w:rsidRPr="00C748CA" w:rsidRDefault="001C29DF" w:rsidP="001C29DF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>. Gör. Zehra KÜÇÜKCOŞKUN</w:t>
      </w:r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</w:t>
      </w:r>
      <w:proofErr w:type="spellStart"/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>. Gör. Demir DİNİPAK</w:t>
      </w:r>
    </w:p>
    <w:p w14:paraId="3D924EA0" w14:textId="77777777" w:rsidR="001C29DF" w:rsidRPr="00C748CA" w:rsidRDefault="001C29DF" w:rsidP="001C29DF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Üye</w:t>
      </w:r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</w:t>
      </w:r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  <w:proofErr w:type="spellStart"/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>Üye</w:t>
      </w:r>
      <w:proofErr w:type="spellEnd"/>
    </w:p>
    <w:p w14:paraId="30DF17FC" w14:textId="77777777" w:rsidR="001C29DF" w:rsidRPr="00C748CA" w:rsidRDefault="001C29DF" w:rsidP="001C29DF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9A7D970" w14:textId="77777777" w:rsidR="001C29DF" w:rsidRPr="00C748CA" w:rsidRDefault="001C29DF" w:rsidP="001C29DF">
      <w:pPr>
        <w:spacing w:after="0" w:line="240" w:lineRule="auto"/>
        <w:ind w:left="2124" w:hanging="19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74D950D" w14:textId="77777777" w:rsidR="001C29DF" w:rsidRPr="00C748CA" w:rsidRDefault="001C29DF" w:rsidP="001C29DF">
      <w:pPr>
        <w:spacing w:after="0" w:line="240" w:lineRule="auto"/>
        <w:ind w:left="2124" w:hanging="19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Gör. Faruk Yaşar GÜRDAL                                           </w:t>
      </w:r>
      <w:proofErr w:type="spellStart"/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>. Gör. Mehtap ÖZTÜRK</w:t>
      </w:r>
    </w:p>
    <w:p w14:paraId="365BD4D6" w14:textId="77777777" w:rsidR="001C29DF" w:rsidRPr="00C748CA" w:rsidRDefault="001C29DF" w:rsidP="001C2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Üye </w:t>
      </w:r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         </w:t>
      </w:r>
      <w:proofErr w:type="gramStart"/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</w:t>
      </w:r>
      <w:proofErr w:type="spellStart"/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>Üye</w:t>
      </w:r>
      <w:proofErr w:type="spellEnd"/>
      <w:proofErr w:type="gramEnd"/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</w:t>
      </w:r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</w:t>
      </w:r>
    </w:p>
    <w:p w14:paraId="7C00E9A9" w14:textId="77777777" w:rsidR="001C29DF" w:rsidRPr="00C748CA" w:rsidRDefault="001C29DF" w:rsidP="001C2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A10E304" w14:textId="77777777" w:rsidR="001C29DF" w:rsidRPr="00C748CA" w:rsidRDefault="001C29DF" w:rsidP="001C2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</w:t>
      </w:r>
      <w:proofErr w:type="spellStart"/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>. Gör. Muhammet BENER</w:t>
      </w:r>
    </w:p>
    <w:p w14:paraId="04E1FC94" w14:textId="77777777" w:rsidR="001C29DF" w:rsidRPr="00C748CA" w:rsidRDefault="001C29DF" w:rsidP="001C29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Üye</w:t>
      </w:r>
    </w:p>
    <w:p w14:paraId="6CA3715C" w14:textId="77777777" w:rsidR="001C29DF" w:rsidRPr="00C748CA" w:rsidRDefault="001C29DF" w:rsidP="001C29DF">
      <w:pPr>
        <w:spacing w:after="0" w:line="240" w:lineRule="auto"/>
        <w:ind w:left="496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540CE15" w14:textId="77777777" w:rsidR="001C29DF" w:rsidRPr="00C748CA" w:rsidRDefault="001C29DF" w:rsidP="001C29DF">
      <w:pPr>
        <w:spacing w:after="0" w:line="240" w:lineRule="auto"/>
        <w:ind w:left="496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22ED89E" w14:textId="77777777" w:rsidR="001C29DF" w:rsidRPr="00C748CA" w:rsidRDefault="001C29DF" w:rsidP="001C29DF">
      <w:pPr>
        <w:spacing w:after="0" w:line="240" w:lineRule="auto"/>
        <w:ind w:left="496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A38E8D5" w14:textId="77777777" w:rsidR="001C29DF" w:rsidRPr="00C748CA" w:rsidRDefault="001C29DF" w:rsidP="001C29DF">
      <w:pPr>
        <w:spacing w:after="0" w:line="240" w:lineRule="auto"/>
        <w:ind w:left="566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>Ayşe GÜNEY</w:t>
      </w:r>
    </w:p>
    <w:p w14:paraId="04491F81" w14:textId="77777777" w:rsidR="001C29DF" w:rsidRPr="00C748CA" w:rsidRDefault="001C29DF" w:rsidP="001C29D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Yüksekokul Sekreteri   </w:t>
      </w:r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748C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                                                                         Raportör</w:t>
      </w:r>
    </w:p>
    <w:p w14:paraId="50CF987D" w14:textId="77777777" w:rsidR="00163A14" w:rsidRDefault="00163A14"/>
    <w:sectPr w:rsidR="00163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78"/>
    <w:rsid w:val="00163A14"/>
    <w:rsid w:val="00194778"/>
    <w:rsid w:val="001C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7D48"/>
  <w15:chartTrackingRefBased/>
  <w15:docId w15:val="{21D83DBD-C88B-45D7-90F9-E41B8299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9D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50">
    <w:name w:val="Tablo Kılavuzu50"/>
    <w:basedOn w:val="NormalTablo"/>
    <w:next w:val="TabloKlavuzu"/>
    <w:uiPriority w:val="59"/>
    <w:rsid w:val="001C2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1C2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BENER</dc:creator>
  <cp:keywords/>
  <dc:description/>
  <cp:lastModifiedBy>Muhammet BENER</cp:lastModifiedBy>
  <cp:revision>2</cp:revision>
  <dcterms:created xsi:type="dcterms:W3CDTF">2021-04-26T13:36:00Z</dcterms:created>
  <dcterms:modified xsi:type="dcterms:W3CDTF">2021-04-26T13:37:00Z</dcterms:modified>
</cp:coreProperties>
</file>